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312" w:type="dxa"/>
        <w:tblInd w:w="-572" w:type="dxa"/>
        <w:tblLayout w:type="fixed"/>
        <w:tblCellMar>
          <w:top w:w="0" w:type="dxa"/>
          <w:left w:w="108" w:type="dxa"/>
          <w:bottom w:w="0" w:type="dxa"/>
          <w:right w:w="108" w:type="dxa"/>
        </w:tblCellMar>
      </w:tblPr>
      <w:tblGrid>
        <w:gridCol w:w="1104"/>
        <w:gridCol w:w="598"/>
        <w:gridCol w:w="1164"/>
        <w:gridCol w:w="2861"/>
        <w:gridCol w:w="777"/>
        <w:gridCol w:w="868"/>
        <w:gridCol w:w="204"/>
        <w:gridCol w:w="1042"/>
        <w:gridCol w:w="1694"/>
      </w:tblGrid>
      <w:tr>
        <w:tblPrEx>
          <w:tblCellMar>
            <w:top w:w="0" w:type="dxa"/>
            <w:left w:w="108" w:type="dxa"/>
            <w:bottom w:w="0" w:type="dxa"/>
            <w:right w:w="108" w:type="dxa"/>
          </w:tblCellMar>
        </w:tblPrEx>
        <w:trPr>
          <w:trHeight w:val="660" w:hRule="atLeast"/>
        </w:trPr>
        <w:tc>
          <w:tcPr>
            <w:tcW w:w="10312" w:type="dxa"/>
            <w:gridSpan w:val="9"/>
            <w:tcBorders>
              <w:top w:val="nil"/>
              <w:left w:val="nil"/>
              <w:bottom w:val="nil"/>
              <w:right w:val="nil"/>
            </w:tcBorders>
            <w:noWrap/>
            <w:vAlign w:val="center"/>
          </w:tcPr>
          <w:p>
            <w:pPr>
              <w:widowControl/>
              <w:ind w:firstLine="0" w:firstLineChars="0"/>
              <w:jc w:val="center"/>
              <w:rPr>
                <w:rFonts w:ascii="宋体" w:hAnsi="宋体" w:eastAsia="宋体" w:cs="宋体"/>
                <w:b/>
                <w:bCs/>
                <w:kern w:val="0"/>
                <w:sz w:val="44"/>
                <w:szCs w:val="44"/>
              </w:rPr>
            </w:pPr>
            <w:r>
              <w:rPr>
                <w:rFonts w:hint="eastAsia" w:ascii="宋体" w:hAnsi="宋体" w:eastAsia="宋体" w:cs="宋体"/>
                <w:b/>
                <w:bCs/>
                <w:kern w:val="0"/>
                <w:sz w:val="44"/>
                <w:szCs w:val="44"/>
              </w:rPr>
              <w:t>海南省高层次人才需求信息表</w:t>
            </w:r>
          </w:p>
        </w:tc>
      </w:tr>
      <w:tr>
        <w:tblPrEx>
          <w:tblCellMar>
            <w:top w:w="0" w:type="dxa"/>
            <w:left w:w="108" w:type="dxa"/>
            <w:bottom w:w="0" w:type="dxa"/>
            <w:right w:w="108" w:type="dxa"/>
          </w:tblCellMar>
        </w:tblPrEx>
        <w:trPr>
          <w:trHeight w:val="559" w:hRule="atLeast"/>
        </w:trPr>
        <w:tc>
          <w:tcPr>
            <w:tcW w:w="1702"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单位名称</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海南大学</w:t>
            </w:r>
          </w:p>
        </w:tc>
        <w:tc>
          <w:tcPr>
            <w:tcW w:w="1849" w:type="dxa"/>
            <w:gridSpan w:val="3"/>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联</w:t>
            </w:r>
            <w:r>
              <w:rPr>
                <w:rFonts w:ascii="宋体" w:hAnsi="宋体" w:eastAsia="宋体" w:cs="宋体"/>
                <w:kern w:val="0"/>
                <w:sz w:val="24"/>
                <w:szCs w:val="24"/>
              </w:rPr>
              <w:t xml:space="preserve"> </w:t>
            </w:r>
            <w:r>
              <w:rPr>
                <w:rFonts w:hint="eastAsia" w:ascii="宋体" w:hAnsi="宋体" w:eastAsia="宋体" w:cs="宋体"/>
                <w:kern w:val="0"/>
                <w:sz w:val="24"/>
                <w:szCs w:val="24"/>
              </w:rPr>
              <w:t>系</w:t>
            </w:r>
            <w:r>
              <w:rPr>
                <w:rFonts w:ascii="宋体" w:hAnsi="宋体" w:eastAsia="宋体" w:cs="宋体"/>
                <w:kern w:val="0"/>
                <w:sz w:val="24"/>
                <w:szCs w:val="24"/>
              </w:rPr>
              <w:t xml:space="preserve"> </w:t>
            </w:r>
            <w:r>
              <w:rPr>
                <w:rFonts w:hint="eastAsia" w:ascii="宋体" w:hAnsi="宋体" w:eastAsia="宋体" w:cs="宋体"/>
                <w:kern w:val="0"/>
                <w:sz w:val="24"/>
                <w:szCs w:val="24"/>
              </w:rPr>
              <w:t>人</w:t>
            </w:r>
          </w:p>
        </w:tc>
        <w:tc>
          <w:tcPr>
            <w:tcW w:w="273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王森森</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地</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海南省海口市人民大道58号</w:t>
            </w:r>
          </w:p>
        </w:tc>
        <w:tc>
          <w:tcPr>
            <w:tcW w:w="1849"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电子信箱</w:t>
            </w:r>
          </w:p>
        </w:tc>
        <w:tc>
          <w:tcPr>
            <w:tcW w:w="273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FF"/>
                <w:kern w:val="0"/>
                <w:sz w:val="24"/>
                <w:szCs w:val="24"/>
                <w:u w:val="single"/>
              </w:rPr>
            </w:pPr>
            <w:r>
              <w:rPr>
                <w:rFonts w:hint="eastAsia" w:ascii="宋体" w:hAnsi="宋体" w:eastAsia="宋体" w:cs="宋体"/>
                <w:color w:val="0000FF"/>
                <w:kern w:val="0"/>
                <w:sz w:val="24"/>
                <w:szCs w:val="24"/>
                <w:u w:val="single"/>
              </w:rPr>
              <w:t>rscyjb@hainanu.edu.cn</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570228</w:t>
            </w:r>
          </w:p>
        </w:tc>
        <w:tc>
          <w:tcPr>
            <w:tcW w:w="1849"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电话</w:t>
            </w:r>
            <w:r>
              <w:rPr>
                <w:rFonts w:ascii="宋体" w:hAnsi="宋体" w:eastAsia="宋体" w:cs="宋体"/>
                <w:kern w:val="0"/>
                <w:sz w:val="24"/>
                <w:szCs w:val="24"/>
              </w:rPr>
              <w:t>/</w:t>
            </w:r>
            <w:r>
              <w:rPr>
                <w:rFonts w:hint="eastAsia" w:ascii="宋体" w:hAnsi="宋体" w:eastAsia="宋体" w:cs="宋体"/>
                <w:kern w:val="0"/>
                <w:sz w:val="24"/>
                <w:szCs w:val="24"/>
              </w:rPr>
              <w:t>手机</w:t>
            </w:r>
          </w:p>
        </w:tc>
        <w:tc>
          <w:tcPr>
            <w:tcW w:w="273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089866271136</w:t>
            </w:r>
          </w:p>
        </w:tc>
      </w:tr>
      <w:tr>
        <w:tblPrEx>
          <w:tblCellMar>
            <w:top w:w="0" w:type="dxa"/>
            <w:left w:w="108" w:type="dxa"/>
            <w:bottom w:w="0" w:type="dxa"/>
            <w:right w:w="108" w:type="dxa"/>
          </w:tblCellMar>
        </w:tblPrEx>
        <w:trPr>
          <w:trHeight w:val="513"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网</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FF"/>
                <w:kern w:val="0"/>
                <w:sz w:val="24"/>
                <w:szCs w:val="24"/>
                <w:u w:val="single"/>
              </w:rPr>
            </w:pPr>
            <w:r>
              <w:rPr>
                <w:rFonts w:hint="eastAsia" w:ascii="宋体" w:hAnsi="宋体" w:eastAsia="宋体" w:cs="宋体"/>
                <w:color w:val="0000FF"/>
                <w:kern w:val="0"/>
                <w:sz w:val="24"/>
                <w:szCs w:val="24"/>
                <w:u w:val="single"/>
              </w:rPr>
              <w:t>https://ha.hainanu.edu.cn/</w:t>
            </w:r>
          </w:p>
        </w:tc>
        <w:tc>
          <w:tcPr>
            <w:tcW w:w="1849"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传</w:t>
            </w:r>
            <w:r>
              <w:rPr>
                <w:rFonts w:ascii="宋体" w:hAnsi="宋体" w:eastAsia="宋体" w:cs="宋体"/>
                <w:kern w:val="0"/>
                <w:sz w:val="24"/>
                <w:szCs w:val="24"/>
              </w:rPr>
              <w:t xml:space="preserve">  </w:t>
            </w:r>
            <w:r>
              <w:rPr>
                <w:rFonts w:hint="eastAsia" w:ascii="宋体" w:hAnsi="宋体" w:eastAsia="宋体" w:cs="宋体"/>
                <w:kern w:val="0"/>
                <w:sz w:val="24"/>
                <w:szCs w:val="24"/>
              </w:rPr>
              <w:t>真</w:t>
            </w:r>
          </w:p>
        </w:tc>
        <w:tc>
          <w:tcPr>
            <w:tcW w:w="273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3015"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单位简介</w:t>
            </w:r>
          </w:p>
        </w:tc>
        <w:tc>
          <w:tcPr>
            <w:tcW w:w="8610" w:type="dxa"/>
            <w:gridSpan w:val="7"/>
            <w:tcBorders>
              <w:top w:val="single" w:color="auto" w:sz="4" w:space="0"/>
              <w:left w:val="nil"/>
              <w:bottom w:val="single" w:color="auto" w:sz="4" w:space="0"/>
              <w:right w:val="single" w:color="auto" w:sz="4" w:space="0"/>
            </w:tcBorders>
            <w:noWrap/>
            <w:vAlign w:val="center"/>
          </w:tcPr>
          <w:p>
            <w:pPr>
              <w:widowControl/>
              <w:shd w:val="clear" w:color="auto" w:fill="FFFFFF"/>
              <w:spacing w:line="360" w:lineRule="exact"/>
              <w:ind w:firstLine="480"/>
              <w:rPr>
                <w:rFonts w:ascii="华文仿宋" w:hAnsi="华文仿宋" w:eastAsia="华文仿宋" w:cs="华文仿宋"/>
                <w:sz w:val="24"/>
                <w:szCs w:val="24"/>
              </w:rPr>
            </w:pPr>
            <w:r>
              <w:rPr>
                <w:rFonts w:hint="eastAsia" w:ascii="华文仿宋" w:hAnsi="华文仿宋" w:eastAsia="华文仿宋" w:cs="华文仿宋"/>
                <w:sz w:val="24"/>
                <w:szCs w:val="24"/>
              </w:rPr>
              <w:t>海南大学创建于1958年，是国家“211工程”重点建设高校、国家“世界一流学科”建设高校、教育部和海南省人民政府“部省合建”高校。学校现有3</w:t>
            </w:r>
            <w:r>
              <w:rPr>
                <w:rFonts w:ascii="华文仿宋" w:hAnsi="华文仿宋" w:eastAsia="华文仿宋" w:cs="华文仿宋"/>
                <w:sz w:val="24"/>
                <w:szCs w:val="24"/>
              </w:rPr>
              <w:t>6</w:t>
            </w:r>
            <w:r>
              <w:rPr>
                <w:rFonts w:hint="eastAsia" w:ascii="华文仿宋" w:hAnsi="华文仿宋" w:eastAsia="华文仿宋" w:cs="华文仿宋"/>
                <w:sz w:val="24"/>
                <w:szCs w:val="24"/>
              </w:rPr>
              <w:t>个学院（部），全日制在校学生4</w:t>
            </w:r>
            <w:r>
              <w:rPr>
                <w:rFonts w:ascii="华文仿宋" w:hAnsi="华文仿宋" w:eastAsia="华文仿宋" w:cs="华文仿宋"/>
                <w:sz w:val="24"/>
                <w:szCs w:val="24"/>
              </w:rPr>
              <w:t>1</w:t>
            </w:r>
            <w:r>
              <w:rPr>
                <w:rFonts w:hint="eastAsia" w:ascii="华文仿宋" w:hAnsi="华文仿宋" w:eastAsia="华文仿宋" w:cs="华文仿宋"/>
                <w:sz w:val="24"/>
                <w:szCs w:val="24"/>
              </w:rPr>
              <w:t>000多人；专任教师2</w:t>
            </w:r>
            <w:r>
              <w:rPr>
                <w:rFonts w:ascii="华文仿宋" w:hAnsi="华文仿宋" w:eastAsia="华文仿宋" w:cs="华文仿宋"/>
                <w:sz w:val="24"/>
                <w:szCs w:val="24"/>
              </w:rPr>
              <w:t>3</w:t>
            </w:r>
            <w:r>
              <w:rPr>
                <w:rFonts w:hint="eastAsia" w:ascii="华文仿宋" w:hAnsi="华文仿宋" w:eastAsia="华文仿宋" w:cs="华文仿宋"/>
                <w:sz w:val="24"/>
                <w:szCs w:val="24"/>
              </w:rPr>
              <w:t>00多人；学校现有6个博士后流动站，1</w:t>
            </w:r>
            <w:r>
              <w:rPr>
                <w:rFonts w:ascii="华文仿宋" w:hAnsi="华文仿宋" w:eastAsia="华文仿宋" w:cs="华文仿宋"/>
                <w:sz w:val="24"/>
                <w:szCs w:val="24"/>
              </w:rPr>
              <w:t>3</w:t>
            </w:r>
            <w:r>
              <w:rPr>
                <w:rFonts w:hint="eastAsia" w:ascii="华文仿宋" w:hAnsi="华文仿宋" w:eastAsia="华文仿宋" w:cs="华文仿宋"/>
                <w:sz w:val="24"/>
                <w:szCs w:val="24"/>
              </w:rPr>
              <w:t>个一级学科博士点，1个专业博士点，32个一级学科硕士点，17个专业学位授权点，71个本科专业。</w:t>
            </w:r>
          </w:p>
          <w:p>
            <w:pPr>
              <w:widowControl/>
              <w:shd w:val="clear" w:color="auto" w:fill="FFFFFF"/>
              <w:spacing w:line="360" w:lineRule="exact"/>
              <w:ind w:firstLine="480"/>
              <w:rPr>
                <w:rFonts w:ascii="华文仿宋" w:hAnsi="华文仿宋" w:eastAsia="华文仿宋" w:cs="华文仿宋"/>
                <w:sz w:val="24"/>
                <w:szCs w:val="24"/>
              </w:rPr>
            </w:pPr>
            <w:r>
              <w:rPr>
                <w:rFonts w:hint="eastAsia" w:ascii="华文仿宋" w:hAnsi="华文仿宋" w:eastAsia="华文仿宋" w:cs="华文仿宋"/>
                <w:sz w:val="24"/>
                <w:szCs w:val="24"/>
              </w:rPr>
              <w:t>2018年4月13日，习近平总书记在海南建省办经济特区30周年庆祝大会上发表了重要讲话，明确指出“要支持海南大学创建世界一流学科”，赋予了海南大学新的重大历史使命。海南省委省政府做出了“聚全省之力办好海南大学”重大决策部署，对海南大学提出了建设世界一流学科和国内一流大学的发展目标。“4·13”以来，国家相关部委和海南省委省政府协同联动，紧紧围绕深入贯彻落实习近平总书记“4·13”重要讲话精神，形成了支持海南大学创建世界一流学科和国内一流大学的强大合力。</w:t>
            </w:r>
          </w:p>
          <w:p>
            <w:pPr>
              <w:widowControl/>
              <w:shd w:val="clear" w:color="auto" w:fill="FFFFFF"/>
              <w:spacing w:line="360" w:lineRule="exact"/>
              <w:ind w:firstLine="480"/>
              <w:rPr>
                <w:rFonts w:ascii="华文仿宋" w:hAnsi="华文仿宋" w:eastAsia="华文仿宋" w:cs="华文仿宋"/>
                <w:sz w:val="24"/>
                <w:szCs w:val="24"/>
              </w:rPr>
            </w:pPr>
            <w:r>
              <w:rPr>
                <w:rFonts w:hint="eastAsia" w:ascii="华文仿宋" w:hAnsi="华文仿宋" w:eastAsia="华文仿宋" w:cs="华文仿宋"/>
                <w:sz w:val="24"/>
                <w:szCs w:val="24"/>
              </w:rPr>
              <w:t>2020年6月1日，中共中央、国务院印发了《海南自由贸易港建设总体方案》，要求将海南自由贸易港打造成为引领我国新时代对外开放的鲜明旗帜和重要开放门户。海南大学面向国家战略和海南地方需求，紧紧围绕“创建世界一流学科”任务，坚持“突出特色、重点建设、全面发展”的原则，坚持以学科建设为龙头，全面提升学科整体水平，增强服务国家战略和地方经济社会发展的能力。“十三五”期间，学校各项办学指标迅速优化提升，各项事业蓬勃发展，当前，学校正积极谋划“十四五”发展规划，对标“国际一流学科”建设标准，加快内涵式发展。</w:t>
            </w:r>
          </w:p>
          <w:p>
            <w:pPr>
              <w:widowControl/>
              <w:shd w:val="clear" w:color="auto" w:fill="FFFFFF"/>
              <w:spacing w:line="360" w:lineRule="exact"/>
              <w:ind w:firstLine="480"/>
              <w:rPr>
                <w:rFonts w:ascii="华文仿宋" w:hAnsi="华文仿宋" w:eastAsia="华文仿宋" w:cs="华文仿宋"/>
                <w:sz w:val="24"/>
                <w:szCs w:val="24"/>
              </w:rPr>
            </w:pPr>
            <w:r>
              <w:rPr>
                <w:rFonts w:hint="eastAsia" w:ascii="华文仿宋" w:hAnsi="华文仿宋" w:eastAsia="华文仿宋" w:cs="华文仿宋"/>
                <w:sz w:val="24"/>
                <w:szCs w:val="24"/>
              </w:rPr>
              <w:t>为更好贯彻落实习近平总书记“要支持海南大学创建世界一流学科”的殷切嘱托和“部省合建海南大学”“聚全省之力办好海南大学”的重大决策部署，服务好国家重大战略需求和海南自贸港建设，诚邀天下英才走进自贸港，立业新海大，建功新时代，共同书写“世界一流学科”和“国内一流大学”的新篇章。</w:t>
            </w:r>
          </w:p>
          <w:p>
            <w:pPr>
              <w:widowControl/>
              <w:shd w:val="clear" w:color="auto" w:fill="FFFFFF"/>
              <w:spacing w:line="360" w:lineRule="exact"/>
              <w:ind w:firstLine="0" w:firstLineChars="0"/>
              <w:rPr>
                <w:rFonts w:ascii="华文仿宋" w:hAnsi="华文仿宋" w:eastAsia="华文仿宋" w:cs="华文仿宋"/>
                <w:sz w:val="24"/>
                <w:szCs w:val="24"/>
              </w:rPr>
            </w:pPr>
          </w:p>
        </w:tc>
      </w:tr>
      <w:tr>
        <w:tblPrEx>
          <w:tblCellMar>
            <w:top w:w="0" w:type="dxa"/>
            <w:left w:w="108" w:type="dxa"/>
            <w:bottom w:w="0" w:type="dxa"/>
            <w:right w:w="108" w:type="dxa"/>
          </w:tblCellMar>
        </w:tblPrEx>
        <w:trPr>
          <w:trHeight w:val="750" w:hRule="atLeast"/>
        </w:trPr>
        <w:tc>
          <w:tcPr>
            <w:tcW w:w="10312" w:type="dxa"/>
            <w:gridSpan w:val="9"/>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招</w:t>
            </w:r>
            <w:r>
              <w:rPr>
                <w:rFonts w:ascii="宋体" w:hAnsi="宋体" w:eastAsia="宋体" w:cs="宋体"/>
                <w:kern w:val="0"/>
                <w:sz w:val="24"/>
                <w:szCs w:val="24"/>
              </w:rPr>
              <w:t xml:space="preserve">    </w:t>
            </w:r>
            <w:r>
              <w:rPr>
                <w:rFonts w:hint="eastAsia" w:ascii="宋体" w:hAnsi="宋体" w:eastAsia="宋体" w:cs="宋体"/>
                <w:kern w:val="0"/>
                <w:sz w:val="24"/>
                <w:szCs w:val="24"/>
              </w:rPr>
              <w:t>聘</w:t>
            </w:r>
            <w:r>
              <w:rPr>
                <w:rFonts w:ascii="宋体" w:hAnsi="宋体" w:eastAsia="宋体" w:cs="宋体"/>
                <w:kern w:val="0"/>
                <w:sz w:val="24"/>
                <w:szCs w:val="24"/>
              </w:rPr>
              <w:t xml:space="preserve">    </w:t>
            </w:r>
            <w:r>
              <w:rPr>
                <w:rFonts w:hint="eastAsia" w:ascii="宋体" w:hAnsi="宋体" w:eastAsia="宋体" w:cs="宋体"/>
                <w:kern w:val="0"/>
                <w:sz w:val="24"/>
                <w:szCs w:val="24"/>
              </w:rPr>
              <w:t>需</w:t>
            </w:r>
            <w:r>
              <w:rPr>
                <w:rFonts w:ascii="宋体" w:hAnsi="宋体" w:eastAsia="宋体" w:cs="宋体"/>
                <w:kern w:val="0"/>
                <w:sz w:val="24"/>
                <w:szCs w:val="24"/>
              </w:rPr>
              <w:t xml:space="preserve">    </w:t>
            </w:r>
            <w:r>
              <w:rPr>
                <w:rFonts w:hint="eastAsia" w:ascii="宋体" w:hAnsi="宋体" w:eastAsia="宋体" w:cs="宋体"/>
                <w:kern w:val="0"/>
                <w:sz w:val="24"/>
                <w:szCs w:val="24"/>
              </w:rPr>
              <w:t>求</w:t>
            </w:r>
            <w:r>
              <w:rPr>
                <w:rFonts w:ascii="宋体" w:hAnsi="宋体" w:eastAsia="宋体" w:cs="宋体"/>
                <w:kern w:val="0"/>
                <w:sz w:val="24"/>
                <w:szCs w:val="24"/>
              </w:rPr>
              <w:t xml:space="preserve">    </w:t>
            </w:r>
            <w:r>
              <w:rPr>
                <w:rFonts w:hint="eastAsia" w:ascii="宋体" w:hAnsi="宋体" w:eastAsia="宋体" w:cs="宋体"/>
                <w:kern w:val="0"/>
                <w:sz w:val="24"/>
                <w:szCs w:val="24"/>
              </w:rPr>
              <w:t>信</w:t>
            </w:r>
            <w:r>
              <w:rPr>
                <w:rFonts w:ascii="宋体" w:hAnsi="宋体" w:eastAsia="宋体" w:cs="宋体"/>
                <w:kern w:val="0"/>
                <w:sz w:val="24"/>
                <w:szCs w:val="24"/>
              </w:rPr>
              <w:t xml:space="preserve">    </w:t>
            </w:r>
            <w:r>
              <w:rPr>
                <w:rFonts w:hint="eastAsia" w:ascii="宋体" w:hAnsi="宋体" w:eastAsia="宋体" w:cs="宋体"/>
                <w:kern w:val="0"/>
                <w:sz w:val="24"/>
                <w:szCs w:val="24"/>
              </w:rPr>
              <w:t>息</w:t>
            </w:r>
          </w:p>
        </w:tc>
      </w:tr>
      <w:tr>
        <w:tblPrEx>
          <w:tblCellMar>
            <w:top w:w="0" w:type="dxa"/>
            <w:left w:w="108" w:type="dxa"/>
            <w:bottom w:w="0" w:type="dxa"/>
            <w:right w:w="108" w:type="dxa"/>
          </w:tblCellMar>
        </w:tblPrEx>
        <w:trPr>
          <w:trHeight w:val="600"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岗</w:t>
            </w:r>
            <w:r>
              <w:rPr>
                <w:rFonts w:ascii="宋体" w:hAnsi="宋体" w:eastAsia="宋体" w:cs="宋体"/>
                <w:kern w:val="0"/>
                <w:sz w:val="24"/>
                <w:szCs w:val="24"/>
              </w:rPr>
              <w:t xml:space="preserve">  </w:t>
            </w:r>
            <w:r>
              <w:rPr>
                <w:rFonts w:hint="eastAsia" w:ascii="宋体" w:hAnsi="宋体" w:eastAsia="宋体" w:cs="宋体"/>
                <w:kern w:val="0"/>
                <w:sz w:val="24"/>
                <w:szCs w:val="24"/>
              </w:rPr>
              <w:t>位</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专业</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工作内容及方向</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学历学位</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人数</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待遇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生物医学工程学院团队带头人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生物医学工程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生物医学工程学院科研骨干</w:t>
            </w:r>
          </w:p>
        </w:tc>
        <w:tc>
          <w:tcPr>
            <w:tcW w:w="3638"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生物医学工程</w:t>
            </w:r>
          </w:p>
        </w:tc>
        <w:tc>
          <w:tcPr>
            <w:tcW w:w="868"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16</w:t>
            </w:r>
          </w:p>
        </w:tc>
        <w:tc>
          <w:tcPr>
            <w:tcW w:w="169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生命科学学院团队带头人</w:t>
            </w:r>
          </w:p>
        </w:tc>
        <w:tc>
          <w:tcPr>
            <w:tcW w:w="3638"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生物学、药学</w:t>
            </w:r>
          </w:p>
        </w:tc>
        <w:tc>
          <w:tcPr>
            <w:tcW w:w="868"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3</w:t>
            </w:r>
          </w:p>
        </w:tc>
        <w:tc>
          <w:tcPr>
            <w:tcW w:w="1694"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生命科学学院科研骨干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生物学、药学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 xml:space="preserve">药学院  </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生物学、药学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3</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90"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 xml:space="preserve">药学院  </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生物学、药学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动物科技学院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畜牧学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动物科技学院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畜牧学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植物保护学院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植物保护</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17</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信息与通信工程</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信息与通信工程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信息与通信工程</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信息与通信工程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计算机科学与技术学院团队带头人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网络空间安全、计算机科学与技术</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3</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计算机科学与技术学科研骨干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网络空间安全、计算机科学与技术</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网络空间安全学院团队带头人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网络空间安全、计算机科学与技术</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3</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网络空间安全学院科研骨干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网络空间安全、计算机科学与技术</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海洋学院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1050" w:firstLineChars="500"/>
              <w:rPr>
                <w:rFonts w:ascii="仿宋" w:hAnsi="仿宋" w:cs="仿宋"/>
                <w:color w:val="000000"/>
                <w:kern w:val="0"/>
                <w:sz w:val="21"/>
                <w:szCs w:val="21"/>
              </w:rPr>
            </w:pPr>
            <w:r>
              <w:rPr>
                <w:rFonts w:hint="eastAsia" w:ascii="仿宋" w:hAnsi="仿宋" w:cs="仿宋"/>
                <w:color w:val="000000"/>
                <w:kern w:val="0"/>
                <w:sz w:val="21"/>
                <w:szCs w:val="21"/>
              </w:rPr>
              <w:t>水产、海洋科学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海洋学院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 xml:space="preserve">  水产、海洋科学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南海海洋资源利用国家重点实验室团队带头人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生物学、生态学、海洋科学、水产学、海洋动力资源</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10</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南海海洋资源利用国家重点实验室科研骨干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生物学、生态学、海洋科学、水产学、海洋动力资源</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热带作物学院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作物学/农业资源与环境</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b/>
                <w:bCs/>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3</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热带作物学院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作物学/农业资源与环境</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15</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生态与环境学院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生态学、环境科学与工程</w:t>
            </w:r>
          </w:p>
        </w:tc>
        <w:tc>
          <w:tcPr>
            <w:tcW w:w="868"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w:t>
            </w:r>
          </w:p>
        </w:tc>
        <w:tc>
          <w:tcPr>
            <w:tcW w:w="169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生态与环境学院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生态学、环境科学与工程</w:t>
            </w:r>
          </w:p>
        </w:tc>
        <w:tc>
          <w:tcPr>
            <w:tcW w:w="868"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16</w:t>
            </w:r>
          </w:p>
        </w:tc>
        <w:tc>
          <w:tcPr>
            <w:tcW w:w="1694"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材料科学与工程学院团队带头人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材料科学与工程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材料科学与工程学院科研骨干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材料科学与工程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20</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化学工程与技术学院团队带头人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化学工程与技术</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4</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化学工程与技术学院科研骨干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化学工程与技术</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机电工程学院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机械工程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机电工程学院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机械工程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17</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食品科学与工程学院团队带头人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食品科学与工程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5</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食品科学与工程学院科研骨干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食品科学与工程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17</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国际旅游学院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工商管理、地理学、公共管理</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国际旅游学院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工商管理、地理学、公共管理</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理学院团队带头人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数学、物理学、化学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理学院科研骨干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数学、物理学、化学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9</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旅游学院团队带头人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工商管理（旅游管理）</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旅游学院科研骨干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工商管理（旅游管理）</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林学院团队带头人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林学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3</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林学院科研骨干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林学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19</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园艺学院团队带头人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园艺学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园艺学院科研骨干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园艺学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土木建筑工程学院团队带头人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船舶与海洋工程、土木工程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7</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土木建筑工程学院科研骨干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船舶与海洋工程、土木工程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5</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bookmarkStart w:id="0" w:name="_GoBack" w:colFirst="0" w:colLast="5"/>
            <w:r>
              <w:rPr>
                <w:rFonts w:hint="eastAsia" w:ascii="仿宋" w:hAnsi="仿宋" w:cs="仿宋"/>
                <w:color w:val="000000"/>
                <w:kern w:val="0"/>
                <w:sz w:val="21"/>
                <w:szCs w:val="21"/>
              </w:rPr>
              <w:t>教师岗</w:t>
            </w:r>
          </w:p>
        </w:tc>
        <w:tc>
          <w:tcPr>
            <w:tcW w:w="1762"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公共管理学院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公共管理</w:t>
            </w:r>
          </w:p>
        </w:tc>
        <w:tc>
          <w:tcPr>
            <w:tcW w:w="868"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w:t>
            </w:r>
          </w:p>
        </w:tc>
        <w:tc>
          <w:tcPr>
            <w:tcW w:w="169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bookmarkEnd w:id="0"/>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公共管理学院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公共管理</w:t>
            </w:r>
          </w:p>
        </w:tc>
        <w:tc>
          <w:tcPr>
            <w:tcW w:w="868"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8</w:t>
            </w:r>
          </w:p>
        </w:tc>
        <w:tc>
          <w:tcPr>
            <w:tcW w:w="1694"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经济学院团队带头人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应用经济学、理论经济学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3</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经济学院科研骨干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应用经济学、理论经济学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管理学院团队带头人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工商管理、农林经济管理、管理科学与工程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4</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管理学院科研骨干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工商管理、农林经济管理、管理科学与工程</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10</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法学院团队带头人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法学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法学院科研骨干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法学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15</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人文传播学院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中国语言文学、新闻传播学、戏剧影视学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2</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人文传播学院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中国语言文学、新闻传播学、戏剧影视学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13</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外国语学院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团队带头人</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外国语言文学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1</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60万至120万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外国语学院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外国语言文学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8</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美术与设计学院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设计学、美术学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教师岗</w:t>
            </w:r>
          </w:p>
        </w:tc>
        <w:tc>
          <w:tcPr>
            <w:tcW w:w="1762"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音乐与舞蹈学院</w:t>
            </w:r>
            <w:r>
              <w:rPr>
                <w:rFonts w:hint="eastAsia" w:ascii="仿宋" w:hAnsi="仿宋" w:cs="仿宋"/>
                <w:color w:val="000000"/>
                <w:kern w:val="0"/>
                <w:sz w:val="21"/>
                <w:szCs w:val="21"/>
              </w:rPr>
              <w:br w:type="textWrapping"/>
            </w:r>
            <w:r>
              <w:rPr>
                <w:rFonts w:hint="eastAsia" w:ascii="仿宋" w:hAnsi="仿宋" w:cs="仿宋"/>
                <w:color w:val="000000"/>
                <w:kern w:val="0"/>
                <w:sz w:val="21"/>
                <w:szCs w:val="21"/>
              </w:rPr>
              <w:t>科研骨干</w:t>
            </w:r>
          </w:p>
        </w:tc>
        <w:tc>
          <w:tcPr>
            <w:tcW w:w="3638"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音乐与舞蹈学</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博士及以上</w:t>
            </w:r>
          </w:p>
        </w:tc>
        <w:tc>
          <w:tcPr>
            <w:tcW w:w="124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hint="eastAsia" w:ascii="仿宋" w:hAnsi="仿宋" w:cs="仿宋"/>
                <w:color w:val="000000"/>
                <w:kern w:val="0"/>
                <w:sz w:val="21"/>
                <w:szCs w:val="21"/>
              </w:rPr>
              <w:t>6</w:t>
            </w:r>
          </w:p>
        </w:tc>
        <w:tc>
          <w:tcPr>
            <w:tcW w:w="1694" w:type="dxa"/>
            <w:tcBorders>
              <w:top w:val="nil"/>
              <w:left w:val="nil"/>
              <w:bottom w:val="single" w:color="auto" w:sz="4" w:space="0"/>
              <w:right w:val="single" w:color="auto" w:sz="4" w:space="0"/>
            </w:tcBorders>
            <w:noWrap/>
            <w:vAlign w:val="center"/>
          </w:tcPr>
          <w:p>
            <w:pPr>
              <w:widowControl/>
              <w:ind w:firstLine="0" w:firstLineChars="0"/>
              <w:jc w:val="center"/>
              <w:rPr>
                <w:rFonts w:ascii="仿宋" w:hAnsi="仿宋" w:cs="仿宋"/>
                <w:color w:val="000000"/>
                <w:kern w:val="0"/>
                <w:sz w:val="21"/>
                <w:szCs w:val="21"/>
              </w:rPr>
            </w:pPr>
            <w:r>
              <w:rPr>
                <w:rFonts w:ascii="仿宋" w:hAnsi="仿宋" w:cs="仿宋"/>
                <w:color w:val="000000"/>
                <w:kern w:val="0"/>
                <w:sz w:val="21"/>
                <w:szCs w:val="21"/>
              </w:rPr>
              <w:t>3</w:t>
            </w:r>
            <w:r>
              <w:rPr>
                <w:rFonts w:hint="eastAsia" w:ascii="仿宋" w:hAnsi="仿宋" w:cs="仿宋"/>
                <w:color w:val="000000"/>
                <w:kern w:val="0"/>
                <w:sz w:val="21"/>
                <w:szCs w:val="21"/>
              </w:rPr>
              <w:t>0万至60万</w:t>
            </w:r>
          </w:p>
        </w:tc>
      </w:tr>
      <w:tr>
        <w:tblPrEx>
          <w:tblCellMar>
            <w:top w:w="0" w:type="dxa"/>
            <w:left w:w="108" w:type="dxa"/>
            <w:bottom w:w="0" w:type="dxa"/>
            <w:right w:w="108" w:type="dxa"/>
          </w:tblCellMar>
        </w:tblPrEx>
        <w:trPr>
          <w:trHeight w:val="558"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备</w:t>
            </w:r>
            <w:r>
              <w:rPr>
                <w:rFonts w:ascii="宋体" w:hAnsi="宋体" w:eastAsia="宋体" w:cs="宋体"/>
                <w:kern w:val="0"/>
                <w:sz w:val="24"/>
                <w:szCs w:val="24"/>
              </w:rPr>
              <w:t xml:space="preserve"> </w:t>
            </w:r>
            <w:r>
              <w:rPr>
                <w:rFonts w:hint="eastAsia" w:ascii="宋体" w:hAnsi="宋体" w:eastAsia="宋体" w:cs="宋体"/>
                <w:kern w:val="0"/>
                <w:sz w:val="24"/>
                <w:szCs w:val="24"/>
              </w:rPr>
              <w:t>注</w:t>
            </w:r>
          </w:p>
        </w:tc>
        <w:tc>
          <w:tcPr>
            <w:tcW w:w="9208" w:type="dxa"/>
            <w:gridSpan w:val="8"/>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r>
    </w:tbl>
    <w:p>
      <w:pPr>
        <w:ind w:firstLine="640"/>
        <w:jc w:val="cente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818"/>
    <w:rsid w:val="00047E2D"/>
    <w:rsid w:val="000D5C5A"/>
    <w:rsid w:val="0015608D"/>
    <w:rsid w:val="001C00B4"/>
    <w:rsid w:val="001D268B"/>
    <w:rsid w:val="001E2818"/>
    <w:rsid w:val="002D05B9"/>
    <w:rsid w:val="003552A4"/>
    <w:rsid w:val="003955E0"/>
    <w:rsid w:val="004E4C6E"/>
    <w:rsid w:val="0052506B"/>
    <w:rsid w:val="006B413D"/>
    <w:rsid w:val="00730008"/>
    <w:rsid w:val="00780B9F"/>
    <w:rsid w:val="007849AD"/>
    <w:rsid w:val="00787BED"/>
    <w:rsid w:val="007C6C60"/>
    <w:rsid w:val="0081302A"/>
    <w:rsid w:val="00834600"/>
    <w:rsid w:val="008A2825"/>
    <w:rsid w:val="008F75FF"/>
    <w:rsid w:val="00962227"/>
    <w:rsid w:val="00967D08"/>
    <w:rsid w:val="00980037"/>
    <w:rsid w:val="009E3729"/>
    <w:rsid w:val="00A4417D"/>
    <w:rsid w:val="00AB5E0B"/>
    <w:rsid w:val="00C22C1D"/>
    <w:rsid w:val="00C87B82"/>
    <w:rsid w:val="00C87F7C"/>
    <w:rsid w:val="00D25E87"/>
    <w:rsid w:val="00D43FAA"/>
    <w:rsid w:val="00E35B17"/>
    <w:rsid w:val="00E4069E"/>
    <w:rsid w:val="00E81F2B"/>
    <w:rsid w:val="00EA0902"/>
    <w:rsid w:val="00EA25A1"/>
    <w:rsid w:val="00F1756F"/>
    <w:rsid w:val="109F25A7"/>
    <w:rsid w:val="2A1A2F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仿宋" w:cs="Times New Roman"/>
      <w:kern w:val="2"/>
      <w:sz w:val="3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locked/>
    <w:uiPriority w:val="99"/>
    <w:rPr>
      <w:rFonts w:eastAsia="仿宋" w:cs="Times New Roman"/>
      <w:sz w:val="18"/>
      <w:szCs w:val="18"/>
    </w:rPr>
  </w:style>
  <w:style w:type="character" w:customStyle="1" w:styleId="7">
    <w:name w:val="页脚 Char"/>
    <w:basedOn w:val="5"/>
    <w:link w:val="2"/>
    <w:locked/>
    <w:uiPriority w:val="99"/>
    <w:rPr>
      <w:rFonts w:eastAsia="仿宋"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524</Words>
  <Characters>2990</Characters>
  <Lines>24</Lines>
  <Paragraphs>7</Paragraphs>
  <TotalTime>50</TotalTime>
  <ScaleCrop>false</ScaleCrop>
  <LinksUpToDate>false</LinksUpToDate>
  <CharactersWithSpaces>3507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2021-08-13T11:08:00Z</dcterms:created>
  <dc:creator>李志刚</dc:creator>
  <cp:lastModifiedBy>李羽佳</cp:lastModifiedBy>
  <cp:lastPrinted>2021-08-16T08:02:00Z</cp:lastPrinted>
  <dcterms:modified xsi:type="dcterms:W3CDTF">2021-09-09T01:43:42Z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31F57F3389804C2FB7A0B7F29D653219</vt:lpwstr>
  </property>
</Properties>
</file>