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952" w:type="dxa"/>
        <w:tblInd w:w="-572" w:type="dxa"/>
        <w:tblLayout w:type="fixed"/>
        <w:tblCellMar>
          <w:top w:w="0" w:type="dxa"/>
          <w:left w:w="108" w:type="dxa"/>
          <w:bottom w:w="0" w:type="dxa"/>
          <w:right w:w="108" w:type="dxa"/>
        </w:tblCellMar>
      </w:tblPr>
      <w:tblGrid>
        <w:gridCol w:w="1556"/>
        <w:gridCol w:w="146"/>
        <w:gridCol w:w="1022"/>
        <w:gridCol w:w="3003"/>
        <w:gridCol w:w="777"/>
        <w:gridCol w:w="868"/>
        <w:gridCol w:w="204"/>
        <w:gridCol w:w="905"/>
        <w:gridCol w:w="1471"/>
      </w:tblGrid>
      <w:tr>
        <w:tblPrEx>
          <w:tblCellMar>
            <w:top w:w="0" w:type="dxa"/>
            <w:left w:w="108" w:type="dxa"/>
            <w:bottom w:w="0" w:type="dxa"/>
            <w:right w:w="108" w:type="dxa"/>
          </w:tblCellMar>
        </w:tblPrEx>
        <w:trPr>
          <w:trHeight w:val="660" w:hRule="atLeast"/>
        </w:trPr>
        <w:tc>
          <w:tcPr>
            <w:tcW w:w="9952" w:type="dxa"/>
            <w:gridSpan w:val="9"/>
            <w:tcBorders>
              <w:top w:val="nil"/>
              <w:left w:val="nil"/>
              <w:bottom w:val="nil"/>
              <w:right w:val="nil"/>
            </w:tcBorders>
            <w:vAlign w:val="center"/>
          </w:tcPr>
          <w:p>
            <w:pPr>
              <w:widowControl/>
              <w:ind w:firstLine="0" w:firstLineChars="0"/>
              <w:jc w:val="center"/>
              <w:rPr>
                <w:rFonts w:ascii="宋体" w:hAnsi="宋体" w:eastAsia="宋体" w:cs="宋体"/>
                <w:b/>
                <w:bCs/>
                <w:kern w:val="0"/>
                <w:sz w:val="44"/>
                <w:szCs w:val="44"/>
              </w:rPr>
            </w:pPr>
            <w:r>
              <w:rPr>
                <w:rFonts w:hint="eastAsia" w:ascii="宋体" w:hAnsi="宋体" w:eastAsia="宋体" w:cs="宋体"/>
                <w:b/>
                <w:bCs/>
                <w:kern w:val="0"/>
                <w:sz w:val="44"/>
                <w:szCs w:val="44"/>
              </w:rPr>
              <w:t>海南高速高层次人才需求信息表</w:t>
            </w:r>
          </w:p>
        </w:tc>
      </w:tr>
      <w:tr>
        <w:tblPrEx>
          <w:tblCellMar>
            <w:top w:w="0" w:type="dxa"/>
            <w:left w:w="108" w:type="dxa"/>
            <w:bottom w:w="0" w:type="dxa"/>
            <w:right w:w="108" w:type="dxa"/>
          </w:tblCellMar>
        </w:tblPrEx>
        <w:trPr>
          <w:trHeight w:val="559" w:hRule="atLeast"/>
        </w:trPr>
        <w:tc>
          <w:tcPr>
            <w:tcW w:w="1702" w:type="dxa"/>
            <w:gridSpan w:val="2"/>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单位名称</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kern w:val="0"/>
                <w:sz w:val="24"/>
                <w:szCs w:val="24"/>
              </w:rPr>
            </w:pPr>
            <w:r>
              <w:rPr>
                <w:rFonts w:hint="eastAsia" w:ascii="宋体" w:hAnsi="宋体" w:eastAsia="宋体" w:cs="宋体"/>
                <w:kern w:val="0"/>
                <w:sz w:val="24"/>
                <w:szCs w:val="24"/>
              </w:rPr>
              <w:t>海南高速公路股份有限公司</w:t>
            </w:r>
          </w:p>
        </w:tc>
        <w:tc>
          <w:tcPr>
            <w:tcW w:w="1849" w:type="dxa"/>
            <w:gridSpan w:val="3"/>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联</w:t>
            </w:r>
            <w:r>
              <w:rPr>
                <w:rFonts w:ascii="宋体" w:hAnsi="宋体" w:eastAsia="宋体" w:cs="宋体"/>
                <w:kern w:val="0"/>
                <w:sz w:val="24"/>
                <w:szCs w:val="24"/>
              </w:rPr>
              <w:t xml:space="preserve"> </w:t>
            </w:r>
            <w:r>
              <w:rPr>
                <w:rFonts w:hint="eastAsia" w:ascii="宋体" w:hAnsi="宋体" w:eastAsia="宋体" w:cs="宋体"/>
                <w:kern w:val="0"/>
                <w:sz w:val="24"/>
                <w:szCs w:val="24"/>
              </w:rPr>
              <w:t>系</w:t>
            </w:r>
            <w:r>
              <w:rPr>
                <w:rFonts w:ascii="宋体" w:hAnsi="宋体" w:eastAsia="宋体" w:cs="宋体"/>
                <w:kern w:val="0"/>
                <w:sz w:val="24"/>
                <w:szCs w:val="24"/>
              </w:rPr>
              <w:t xml:space="preserve"> </w:t>
            </w:r>
            <w:r>
              <w:rPr>
                <w:rFonts w:hint="eastAsia" w:ascii="宋体" w:hAnsi="宋体" w:eastAsia="宋体" w:cs="宋体"/>
                <w:kern w:val="0"/>
                <w:sz w:val="24"/>
                <w:szCs w:val="24"/>
              </w:rPr>
              <w:t>人</w:t>
            </w:r>
          </w:p>
        </w:tc>
        <w:tc>
          <w:tcPr>
            <w:tcW w:w="2376" w:type="dxa"/>
            <w:gridSpan w:val="2"/>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kern w:val="0"/>
                <w:sz w:val="24"/>
                <w:szCs w:val="24"/>
              </w:rPr>
            </w:pPr>
            <w:r>
              <w:rPr>
                <w:rFonts w:hint="eastAsia" w:ascii="宋体" w:hAnsi="宋体" w:eastAsia="宋体" w:cs="宋体"/>
                <w:kern w:val="0"/>
                <w:sz w:val="24"/>
                <w:szCs w:val="24"/>
              </w:rPr>
              <w:t>马俊</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地</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kern w:val="0"/>
                <w:sz w:val="24"/>
                <w:szCs w:val="24"/>
              </w:rPr>
            </w:pPr>
            <w:r>
              <w:rPr>
                <w:rFonts w:hint="eastAsia" w:ascii="宋体" w:hAnsi="宋体" w:eastAsia="宋体" w:cs="宋体"/>
                <w:kern w:val="0"/>
                <w:sz w:val="24"/>
                <w:szCs w:val="24"/>
              </w:rPr>
              <w:t>海口市蓝天路16号海南高速大楼</w:t>
            </w:r>
          </w:p>
        </w:tc>
        <w:tc>
          <w:tcPr>
            <w:tcW w:w="1849" w:type="dxa"/>
            <w:gridSpan w:val="3"/>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电子信箱</w:t>
            </w:r>
          </w:p>
        </w:tc>
        <w:tc>
          <w:tcPr>
            <w:tcW w:w="2376" w:type="dxa"/>
            <w:gridSpan w:val="2"/>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color w:val="0000FF"/>
                <w:kern w:val="0"/>
                <w:sz w:val="24"/>
                <w:szCs w:val="24"/>
                <w:u w:val="single"/>
              </w:rPr>
            </w:pPr>
            <w:r>
              <w:rPr>
                <w:rFonts w:hint="eastAsia" w:ascii="宋体" w:hAnsi="宋体" w:eastAsia="宋体" w:cs="宋体"/>
                <w:color w:val="0000FF"/>
                <w:kern w:val="0"/>
                <w:sz w:val="24"/>
                <w:szCs w:val="24"/>
                <w:u w:val="single"/>
              </w:rPr>
              <w:t>hainangaosu@163.cm</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邮</w:t>
            </w:r>
            <w:r>
              <w:rPr>
                <w:rFonts w:ascii="宋体" w:hAnsi="宋体" w:eastAsia="宋体" w:cs="宋体"/>
                <w:kern w:val="0"/>
                <w:sz w:val="24"/>
                <w:szCs w:val="24"/>
              </w:rPr>
              <w:t xml:space="preserve">  </w:t>
            </w:r>
            <w:r>
              <w:rPr>
                <w:rFonts w:hint="eastAsia" w:ascii="宋体" w:hAnsi="宋体" w:eastAsia="宋体" w:cs="宋体"/>
                <w:kern w:val="0"/>
                <w:sz w:val="24"/>
                <w:szCs w:val="24"/>
              </w:rPr>
              <w:t>编</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570203</w:t>
            </w:r>
          </w:p>
        </w:tc>
        <w:tc>
          <w:tcPr>
            <w:tcW w:w="1849" w:type="dxa"/>
            <w:gridSpan w:val="3"/>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电话</w:t>
            </w:r>
            <w:r>
              <w:rPr>
                <w:rFonts w:ascii="宋体" w:hAnsi="宋体" w:eastAsia="宋体" w:cs="宋体"/>
                <w:kern w:val="0"/>
                <w:sz w:val="24"/>
                <w:szCs w:val="24"/>
              </w:rPr>
              <w:t>/</w:t>
            </w:r>
            <w:r>
              <w:rPr>
                <w:rFonts w:hint="eastAsia" w:ascii="宋体" w:hAnsi="宋体" w:eastAsia="宋体" w:cs="宋体"/>
                <w:kern w:val="0"/>
                <w:sz w:val="24"/>
                <w:szCs w:val="24"/>
              </w:rPr>
              <w:t>手机</w:t>
            </w:r>
          </w:p>
        </w:tc>
        <w:tc>
          <w:tcPr>
            <w:tcW w:w="2376" w:type="dxa"/>
            <w:gridSpan w:val="2"/>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kern w:val="0"/>
                <w:sz w:val="24"/>
                <w:szCs w:val="24"/>
              </w:rPr>
            </w:pPr>
            <w:r>
              <w:rPr>
                <w:rFonts w:hint="eastAsia" w:ascii="宋体" w:hAnsi="宋体" w:eastAsia="宋体" w:cs="宋体"/>
                <w:kern w:val="0"/>
                <w:sz w:val="24"/>
                <w:szCs w:val="24"/>
              </w:rPr>
              <w:t>66782484</w:t>
            </w:r>
          </w:p>
        </w:tc>
      </w:tr>
      <w:tr>
        <w:tblPrEx>
          <w:tblCellMar>
            <w:top w:w="0" w:type="dxa"/>
            <w:left w:w="108" w:type="dxa"/>
            <w:bottom w:w="0" w:type="dxa"/>
            <w:right w:w="108" w:type="dxa"/>
          </w:tblCellMar>
        </w:tblPrEx>
        <w:trPr>
          <w:trHeight w:val="559"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网</w:t>
            </w:r>
            <w:r>
              <w:rPr>
                <w:rFonts w:ascii="宋体" w:hAnsi="宋体" w:eastAsia="宋体" w:cs="宋体"/>
                <w:kern w:val="0"/>
                <w:sz w:val="24"/>
                <w:szCs w:val="24"/>
              </w:rPr>
              <w:t xml:space="preserve">  </w:t>
            </w:r>
            <w:r>
              <w:rPr>
                <w:rFonts w:hint="eastAsia" w:ascii="宋体" w:hAnsi="宋体" w:eastAsia="宋体" w:cs="宋体"/>
                <w:kern w:val="0"/>
                <w:sz w:val="24"/>
                <w:szCs w:val="24"/>
              </w:rPr>
              <w:t>址</w:t>
            </w:r>
          </w:p>
        </w:tc>
        <w:tc>
          <w:tcPr>
            <w:tcW w:w="4025"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FF"/>
                <w:kern w:val="0"/>
                <w:sz w:val="24"/>
                <w:szCs w:val="24"/>
                <w:u w:val="single"/>
              </w:rPr>
            </w:pPr>
            <w:r>
              <w:rPr>
                <w:rFonts w:hint="eastAsia" w:ascii="宋体" w:hAnsi="宋体" w:eastAsia="宋体" w:cs="宋体"/>
                <w:color w:val="0000FF"/>
                <w:kern w:val="0"/>
                <w:sz w:val="24"/>
                <w:szCs w:val="24"/>
                <w:u w:val="single"/>
              </w:rPr>
              <w:t>http://www.hi-expressway.com/</w:t>
            </w:r>
          </w:p>
        </w:tc>
        <w:tc>
          <w:tcPr>
            <w:tcW w:w="1849" w:type="dxa"/>
            <w:gridSpan w:val="3"/>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传</w:t>
            </w:r>
            <w:r>
              <w:rPr>
                <w:rFonts w:ascii="宋体" w:hAnsi="宋体" w:eastAsia="宋体" w:cs="宋体"/>
                <w:kern w:val="0"/>
                <w:sz w:val="24"/>
                <w:szCs w:val="24"/>
              </w:rPr>
              <w:t xml:space="preserve">  </w:t>
            </w:r>
            <w:r>
              <w:rPr>
                <w:rFonts w:hint="eastAsia" w:ascii="宋体" w:hAnsi="宋体" w:eastAsia="宋体" w:cs="宋体"/>
                <w:kern w:val="0"/>
                <w:sz w:val="24"/>
                <w:szCs w:val="24"/>
              </w:rPr>
              <w:t>真</w:t>
            </w:r>
          </w:p>
        </w:tc>
        <w:tc>
          <w:tcPr>
            <w:tcW w:w="2376"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3015" w:hRule="atLeast"/>
        </w:trPr>
        <w:tc>
          <w:tcPr>
            <w:tcW w:w="1702" w:type="dxa"/>
            <w:gridSpan w:val="2"/>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单位简介</w:t>
            </w:r>
          </w:p>
        </w:tc>
        <w:tc>
          <w:tcPr>
            <w:tcW w:w="8250" w:type="dxa"/>
            <w:gridSpan w:val="7"/>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kern w:val="0"/>
                <w:sz w:val="24"/>
                <w:szCs w:val="24"/>
              </w:rPr>
            </w:pPr>
            <w:r>
              <w:rPr>
                <w:rFonts w:hint="eastAsia" w:ascii="宋体" w:hAnsi="宋体" w:eastAsia="宋体" w:cs="宋体"/>
                <w:kern w:val="0"/>
                <w:sz w:val="24"/>
                <w:szCs w:val="24"/>
              </w:rPr>
              <w:t>海南高速成立于1993年8月，并于1998年1月在深圳证券交易所挂牌上市，形成了以公路建设、房地产开发、酒店服务三大板块为主营业务的公众公司，国有占股比例25.31%。“十三五”以来，公司加大战略转型的步伐，确立了专业投资商的发展定位，投入类金融服务、体育运动、海洋旅游，实施房地产项目转型升级。习近平总书记发表“4·13”重要讲话以来，公司紧扣海南自由贸易港建设的主线，正在全力推进滨海国际体育文化旅游项目。</w:t>
            </w:r>
          </w:p>
          <w:p>
            <w:pPr>
              <w:widowControl/>
              <w:ind w:firstLine="480"/>
              <w:rPr>
                <w:rFonts w:ascii="宋体" w:hAnsi="宋体" w:eastAsia="宋体" w:cs="宋体"/>
                <w:kern w:val="0"/>
                <w:sz w:val="24"/>
                <w:szCs w:val="24"/>
              </w:rPr>
            </w:pPr>
          </w:p>
        </w:tc>
      </w:tr>
      <w:tr>
        <w:tblPrEx>
          <w:tblCellMar>
            <w:top w:w="0" w:type="dxa"/>
            <w:left w:w="108" w:type="dxa"/>
            <w:bottom w:w="0" w:type="dxa"/>
            <w:right w:w="108" w:type="dxa"/>
          </w:tblCellMar>
        </w:tblPrEx>
        <w:trPr>
          <w:trHeight w:val="750" w:hRule="atLeast"/>
        </w:trPr>
        <w:tc>
          <w:tcPr>
            <w:tcW w:w="9952" w:type="dxa"/>
            <w:gridSpan w:val="9"/>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招</w:t>
            </w:r>
            <w:r>
              <w:rPr>
                <w:rFonts w:ascii="宋体" w:hAnsi="宋体" w:eastAsia="宋体" w:cs="宋体"/>
                <w:kern w:val="0"/>
                <w:sz w:val="24"/>
                <w:szCs w:val="24"/>
              </w:rPr>
              <w:t xml:space="preserve">    </w:t>
            </w:r>
            <w:r>
              <w:rPr>
                <w:rFonts w:hint="eastAsia" w:ascii="宋体" w:hAnsi="宋体" w:eastAsia="宋体" w:cs="宋体"/>
                <w:kern w:val="0"/>
                <w:sz w:val="24"/>
                <w:szCs w:val="24"/>
              </w:rPr>
              <w:t>聘</w:t>
            </w:r>
            <w:r>
              <w:rPr>
                <w:rFonts w:ascii="宋体" w:hAnsi="宋体" w:eastAsia="宋体" w:cs="宋体"/>
                <w:kern w:val="0"/>
                <w:sz w:val="24"/>
                <w:szCs w:val="24"/>
              </w:rPr>
              <w:t xml:space="preserve">    </w:t>
            </w:r>
            <w:r>
              <w:rPr>
                <w:rFonts w:hint="eastAsia" w:ascii="宋体" w:hAnsi="宋体" w:eastAsia="宋体" w:cs="宋体"/>
                <w:kern w:val="0"/>
                <w:sz w:val="24"/>
                <w:szCs w:val="24"/>
              </w:rPr>
              <w:t>需</w:t>
            </w:r>
            <w:r>
              <w:rPr>
                <w:rFonts w:ascii="宋体" w:hAnsi="宋体" w:eastAsia="宋体" w:cs="宋体"/>
                <w:kern w:val="0"/>
                <w:sz w:val="24"/>
                <w:szCs w:val="24"/>
              </w:rPr>
              <w:t xml:space="preserve">    </w:t>
            </w:r>
            <w:r>
              <w:rPr>
                <w:rFonts w:hint="eastAsia" w:ascii="宋体" w:hAnsi="宋体" w:eastAsia="宋体" w:cs="宋体"/>
                <w:kern w:val="0"/>
                <w:sz w:val="24"/>
                <w:szCs w:val="24"/>
              </w:rPr>
              <w:t>求</w:t>
            </w:r>
            <w:r>
              <w:rPr>
                <w:rFonts w:ascii="宋体" w:hAnsi="宋体" w:eastAsia="宋体" w:cs="宋体"/>
                <w:kern w:val="0"/>
                <w:sz w:val="24"/>
                <w:szCs w:val="24"/>
              </w:rPr>
              <w:t xml:space="preserve">    </w:t>
            </w:r>
            <w:r>
              <w:rPr>
                <w:rFonts w:hint="eastAsia" w:ascii="宋体" w:hAnsi="宋体" w:eastAsia="宋体" w:cs="宋体"/>
                <w:kern w:val="0"/>
                <w:sz w:val="24"/>
                <w:szCs w:val="24"/>
              </w:rPr>
              <w:t>信</w:t>
            </w:r>
            <w:r>
              <w:rPr>
                <w:rFonts w:ascii="宋体" w:hAnsi="宋体" w:eastAsia="宋体" w:cs="宋体"/>
                <w:kern w:val="0"/>
                <w:sz w:val="24"/>
                <w:szCs w:val="24"/>
              </w:rPr>
              <w:t xml:space="preserve">    </w:t>
            </w:r>
            <w:r>
              <w:rPr>
                <w:rFonts w:hint="eastAsia" w:ascii="宋体" w:hAnsi="宋体" w:eastAsia="宋体" w:cs="宋体"/>
                <w:kern w:val="0"/>
                <w:sz w:val="24"/>
                <w:szCs w:val="24"/>
              </w:rPr>
              <w:t>息</w:t>
            </w:r>
          </w:p>
        </w:tc>
      </w:tr>
      <w:tr>
        <w:tblPrEx>
          <w:tblCellMar>
            <w:top w:w="0" w:type="dxa"/>
            <w:left w:w="108" w:type="dxa"/>
            <w:bottom w:w="0" w:type="dxa"/>
            <w:right w:w="108" w:type="dxa"/>
          </w:tblCellMar>
        </w:tblPrEx>
        <w:trPr>
          <w:trHeight w:val="600" w:hRule="atLeast"/>
        </w:trPr>
        <w:tc>
          <w:tcPr>
            <w:tcW w:w="1556" w:type="dxa"/>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岗</w:t>
            </w:r>
            <w:r>
              <w:rPr>
                <w:rFonts w:ascii="宋体" w:hAnsi="宋体" w:eastAsia="宋体" w:cs="宋体"/>
                <w:kern w:val="0"/>
                <w:sz w:val="24"/>
                <w:szCs w:val="24"/>
              </w:rPr>
              <w:t xml:space="preserve">  </w:t>
            </w:r>
            <w:r>
              <w:rPr>
                <w:rFonts w:hint="eastAsia" w:ascii="宋体" w:hAnsi="宋体" w:eastAsia="宋体" w:cs="宋体"/>
                <w:kern w:val="0"/>
                <w:sz w:val="24"/>
                <w:szCs w:val="24"/>
              </w:rPr>
              <w:t>位</w:t>
            </w:r>
          </w:p>
        </w:tc>
        <w:tc>
          <w:tcPr>
            <w:tcW w:w="1168"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专业</w:t>
            </w:r>
          </w:p>
        </w:tc>
        <w:tc>
          <w:tcPr>
            <w:tcW w:w="3780"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工作内容及方向</w:t>
            </w:r>
          </w:p>
        </w:tc>
        <w:tc>
          <w:tcPr>
            <w:tcW w:w="868"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学历学位</w:t>
            </w:r>
          </w:p>
        </w:tc>
        <w:tc>
          <w:tcPr>
            <w:tcW w:w="1109"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人数</w:t>
            </w:r>
          </w:p>
        </w:tc>
        <w:tc>
          <w:tcPr>
            <w:tcW w:w="1471"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待遇</w:t>
            </w:r>
          </w:p>
        </w:tc>
      </w:tr>
      <w:tr>
        <w:tblPrEx>
          <w:tblCellMar>
            <w:top w:w="0" w:type="dxa"/>
            <w:left w:w="108" w:type="dxa"/>
            <w:bottom w:w="0" w:type="dxa"/>
            <w:right w:w="108" w:type="dxa"/>
          </w:tblCellMar>
        </w:tblPrEx>
        <w:trPr>
          <w:trHeight w:val="3358" w:hRule="atLeast"/>
        </w:trPr>
        <w:tc>
          <w:tcPr>
            <w:tcW w:w="1556" w:type="dxa"/>
            <w:tcBorders>
              <w:top w:val="nil"/>
              <w:left w:val="single" w:color="auto" w:sz="4" w:space="0"/>
              <w:bottom w:val="single" w:color="auto" w:sz="4" w:space="0"/>
              <w:right w:val="single" w:color="auto" w:sz="4" w:space="0"/>
            </w:tcBorders>
            <w:vAlign w:val="center"/>
          </w:tcPr>
          <w:p>
            <w:pPr>
              <w:widowControl/>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合规风控岗</w:t>
            </w:r>
          </w:p>
        </w:tc>
        <w:tc>
          <w:tcPr>
            <w:tcW w:w="1168"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法律、审计</w:t>
            </w:r>
          </w:p>
        </w:tc>
        <w:tc>
          <w:tcPr>
            <w:tcW w:w="3780" w:type="dxa"/>
            <w:gridSpan w:val="2"/>
            <w:tcBorders>
              <w:top w:val="nil"/>
              <w:left w:val="nil"/>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4"/>
              </w:rPr>
            </w:pPr>
            <w:r>
              <w:rPr>
                <w:rFonts w:hint="eastAsia" w:ascii="宋体" w:hAnsi="宋体" w:eastAsia="宋体" w:cs="宋体"/>
                <w:color w:val="000000"/>
                <w:kern w:val="0"/>
                <w:sz w:val="24"/>
              </w:rPr>
              <w:t>全面负责风控合规工作,降低公司业务运行中的各种风险,支持公司业务发展；在授权范围内,负责公司风险控制管理制度体系、业务操作流程的建设及实施跟踪、完善,对项目风险进行分析、审查；及时研究与公司权益有重大影响的法律合规问题,为业务发展提供前瞻性的法律合规建议和风险提示。</w:t>
            </w:r>
          </w:p>
        </w:tc>
        <w:tc>
          <w:tcPr>
            <w:tcW w:w="868"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研究生及以上学历</w:t>
            </w:r>
          </w:p>
        </w:tc>
        <w:tc>
          <w:tcPr>
            <w:tcW w:w="1109"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471"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10万~30万</w:t>
            </w:r>
          </w:p>
        </w:tc>
      </w:tr>
      <w:tr>
        <w:tblPrEx>
          <w:tblCellMar>
            <w:top w:w="0" w:type="dxa"/>
            <w:left w:w="108" w:type="dxa"/>
            <w:bottom w:w="0" w:type="dxa"/>
            <w:right w:w="108" w:type="dxa"/>
          </w:tblCellMar>
        </w:tblPrEx>
        <w:trPr>
          <w:trHeight w:val="2793" w:hRule="atLeast"/>
        </w:trPr>
        <w:tc>
          <w:tcPr>
            <w:tcW w:w="1556" w:type="dxa"/>
            <w:tcBorders>
              <w:top w:val="nil"/>
              <w:left w:val="single" w:color="auto" w:sz="4" w:space="0"/>
              <w:bottom w:val="single" w:color="auto" w:sz="4" w:space="0"/>
              <w:right w:val="single" w:color="auto" w:sz="4" w:space="0"/>
            </w:tcBorders>
            <w:vAlign w:val="center"/>
          </w:tcPr>
          <w:p>
            <w:pPr>
              <w:widowControl/>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投融资经理</w:t>
            </w:r>
          </w:p>
        </w:tc>
        <w:tc>
          <w:tcPr>
            <w:tcW w:w="1168" w:type="dxa"/>
            <w:gridSpan w:val="2"/>
            <w:tcBorders>
              <w:top w:val="nil"/>
              <w:left w:val="nil"/>
              <w:bottom w:val="single" w:color="auto" w:sz="4" w:space="0"/>
              <w:right w:val="single" w:color="auto" w:sz="4" w:space="0"/>
            </w:tcBorders>
            <w:vAlign w:val="center"/>
          </w:tcPr>
          <w:p>
            <w:pPr>
              <w:widowControl/>
              <w:wordWrap w:val="0"/>
              <w:ind w:firstLine="0" w:firstLineChars="0"/>
              <w:jc w:val="left"/>
              <w:rPr>
                <w:rFonts w:ascii="宋体" w:hAnsi="宋体" w:eastAsia="宋体" w:cs="宋体"/>
                <w:color w:val="000000"/>
                <w:kern w:val="0"/>
                <w:sz w:val="24"/>
              </w:rPr>
            </w:pPr>
            <w:r>
              <w:rPr>
                <w:rFonts w:ascii="宋体" w:hAnsi="宋体" w:eastAsia="宋体" w:cs="宋体"/>
                <w:color w:val="000000"/>
                <w:kern w:val="0"/>
                <w:sz w:val="24"/>
              </w:rPr>
              <w:t>金融、经济</w:t>
            </w:r>
          </w:p>
          <w:p>
            <w:pPr>
              <w:widowControl/>
              <w:ind w:firstLine="0" w:firstLineChars="0"/>
              <w:jc w:val="center"/>
              <w:rPr>
                <w:rFonts w:ascii="宋体" w:hAnsi="宋体" w:eastAsia="宋体" w:cs="宋体"/>
                <w:color w:val="000000"/>
                <w:kern w:val="0"/>
                <w:sz w:val="24"/>
              </w:rPr>
            </w:pPr>
          </w:p>
        </w:tc>
        <w:tc>
          <w:tcPr>
            <w:tcW w:w="3780" w:type="dxa"/>
            <w:gridSpan w:val="2"/>
            <w:tcBorders>
              <w:top w:val="nil"/>
              <w:left w:val="nil"/>
              <w:bottom w:val="single" w:color="auto" w:sz="4" w:space="0"/>
              <w:right w:val="single" w:color="auto" w:sz="4" w:space="0"/>
            </w:tcBorders>
            <w:vAlign w:val="center"/>
          </w:tcPr>
          <w:p>
            <w:pPr>
              <w:widowControl/>
              <w:spacing w:line="300" w:lineRule="atLeast"/>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根据公司发展战略制定并组织实施投融资规划；调查、收集、整理有关信息，储备投融资项目为公司投融资业务提供信息支持；组织对拟投资的企业或项目进行背调评估项目价值；根据公司发展需要，积极拓展融资有效途径，办理借贷相关资料收集，材料编写等工作。</w:t>
            </w:r>
          </w:p>
        </w:tc>
        <w:tc>
          <w:tcPr>
            <w:tcW w:w="868"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4"/>
              </w:rPr>
              <w:t>研究生及以上学历</w:t>
            </w:r>
          </w:p>
        </w:tc>
        <w:tc>
          <w:tcPr>
            <w:tcW w:w="1109"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471"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4"/>
                <w:szCs w:val="24"/>
              </w:rPr>
              <w:t>10万~30万</w:t>
            </w:r>
          </w:p>
        </w:tc>
      </w:tr>
      <w:tr>
        <w:tblPrEx>
          <w:tblCellMar>
            <w:top w:w="0" w:type="dxa"/>
            <w:left w:w="108" w:type="dxa"/>
            <w:bottom w:w="0" w:type="dxa"/>
            <w:right w:w="108" w:type="dxa"/>
          </w:tblCellMar>
        </w:tblPrEx>
        <w:trPr>
          <w:trHeight w:val="559" w:hRule="atLeast"/>
        </w:trPr>
        <w:tc>
          <w:tcPr>
            <w:tcW w:w="1556"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投资者关系管理</w:t>
            </w:r>
          </w:p>
        </w:tc>
        <w:tc>
          <w:tcPr>
            <w:tcW w:w="1168" w:type="dxa"/>
            <w:gridSpan w:val="2"/>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财务、法律、企业管理</w:t>
            </w:r>
          </w:p>
        </w:tc>
        <w:tc>
          <w:tcPr>
            <w:tcW w:w="3780" w:type="dxa"/>
            <w:gridSpan w:val="2"/>
            <w:tcBorders>
              <w:top w:val="single" w:color="auto" w:sz="4" w:space="0"/>
              <w:left w:val="single" w:color="auto" w:sz="4" w:space="0"/>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负责公司资本市场形象维护及价值维护，根据公司发展情况及规划做好资本市场沟通导向工作；负责公司日常投资者关系平台的管理维护和投资者关系活动的组织执行，建立和维护投资者数据库；参与制定公司投资者关系管理相关制度与流程完善，确保公司规范开展投资者关系工作及对外宣传工作等</w:t>
            </w:r>
          </w:p>
          <w:p>
            <w:pPr>
              <w:widowControl/>
              <w:ind w:firstLine="0" w:firstLineChars="0"/>
              <w:rPr>
                <w:rFonts w:ascii="宋体" w:hAnsi="宋体" w:eastAsia="宋体" w:cs="宋体"/>
                <w:color w:val="000000"/>
                <w:kern w:val="0"/>
                <w:sz w:val="21"/>
                <w:szCs w:val="21"/>
              </w:rPr>
            </w:pPr>
          </w:p>
        </w:tc>
        <w:tc>
          <w:tcPr>
            <w:tcW w:w="86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4"/>
              </w:rPr>
              <w:t>研究生及以上学历</w:t>
            </w:r>
          </w:p>
        </w:tc>
        <w:tc>
          <w:tcPr>
            <w:tcW w:w="1109" w:type="dxa"/>
            <w:gridSpan w:val="2"/>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4"/>
                <w:szCs w:val="24"/>
              </w:rPr>
              <w:t>10万~30万</w:t>
            </w:r>
          </w:p>
        </w:tc>
      </w:tr>
      <w:tr>
        <w:tblPrEx>
          <w:tblCellMar>
            <w:top w:w="0" w:type="dxa"/>
            <w:left w:w="108" w:type="dxa"/>
            <w:bottom w:w="0" w:type="dxa"/>
            <w:right w:w="108" w:type="dxa"/>
          </w:tblCellMar>
        </w:tblPrEx>
        <w:trPr>
          <w:trHeight w:val="559" w:hRule="atLeast"/>
        </w:trPr>
        <w:tc>
          <w:tcPr>
            <w:tcW w:w="1556"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行业分析</w:t>
            </w:r>
          </w:p>
        </w:tc>
        <w:tc>
          <w:tcPr>
            <w:tcW w:w="1168"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金融、经济</w:t>
            </w:r>
          </w:p>
        </w:tc>
        <w:tc>
          <w:tcPr>
            <w:tcW w:w="3780" w:type="dxa"/>
            <w:gridSpan w:val="2"/>
            <w:tcBorders>
              <w:top w:val="single" w:color="auto" w:sz="4" w:space="0"/>
              <w:left w:val="nil"/>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负责重点行业的整体梳理,提供指导性行业研究报告,挖掘交易机会；负责项目执行中,商业计划书及重点材料的制作等。</w:t>
            </w:r>
          </w:p>
        </w:tc>
        <w:tc>
          <w:tcPr>
            <w:tcW w:w="868" w:type="dxa"/>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4"/>
              </w:rPr>
              <w:t>研究生及以上学历</w:t>
            </w:r>
          </w:p>
        </w:tc>
        <w:tc>
          <w:tcPr>
            <w:tcW w:w="1109" w:type="dxa"/>
            <w:gridSpan w:val="2"/>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471" w:type="dxa"/>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4"/>
                <w:szCs w:val="24"/>
              </w:rPr>
              <w:t>10万~30万</w:t>
            </w:r>
          </w:p>
        </w:tc>
      </w:tr>
      <w:tr>
        <w:tblPrEx>
          <w:tblCellMar>
            <w:top w:w="0" w:type="dxa"/>
            <w:left w:w="108" w:type="dxa"/>
            <w:bottom w:w="0" w:type="dxa"/>
            <w:right w:w="108" w:type="dxa"/>
          </w:tblCellMar>
        </w:tblPrEx>
        <w:trPr>
          <w:trHeight w:val="559" w:hRule="atLeast"/>
        </w:trPr>
        <w:tc>
          <w:tcPr>
            <w:tcW w:w="1556" w:type="dxa"/>
            <w:tcBorders>
              <w:top w:val="nil"/>
              <w:left w:val="single" w:color="auto" w:sz="4" w:space="0"/>
              <w:bottom w:val="single" w:color="auto" w:sz="4" w:space="0"/>
              <w:right w:val="single" w:color="auto" w:sz="4" w:space="0"/>
            </w:tcBorders>
            <w:vAlign w:val="center"/>
          </w:tcPr>
          <w:p>
            <w:pPr>
              <w:widowControl/>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财务分析</w:t>
            </w:r>
          </w:p>
        </w:tc>
        <w:tc>
          <w:tcPr>
            <w:tcW w:w="1168"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财务</w:t>
            </w:r>
          </w:p>
        </w:tc>
        <w:tc>
          <w:tcPr>
            <w:tcW w:w="3780" w:type="dxa"/>
            <w:gridSpan w:val="2"/>
            <w:tcBorders>
              <w:top w:val="nil"/>
              <w:left w:val="nil"/>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对企业财务分析制度的完善提供合理化建议，实时掌握企业财务状态，并从盈利能力、偿债能力、变现能力、运营效率等各个角度对企业财务状况进行分析；按要求定期提供财务分析报告，以协助管理层制定企业中长期发展规划；协助开展生产经营评估分析、过程分析和最终的项目评审，并提供生产经营项目财务分析报告等</w:t>
            </w:r>
          </w:p>
        </w:tc>
        <w:tc>
          <w:tcPr>
            <w:tcW w:w="868"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4"/>
              </w:rPr>
              <w:t>研究生及以上学历</w:t>
            </w:r>
          </w:p>
        </w:tc>
        <w:tc>
          <w:tcPr>
            <w:tcW w:w="1109"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471"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4"/>
                <w:szCs w:val="24"/>
              </w:rPr>
              <w:t>10万~30万</w:t>
            </w:r>
          </w:p>
        </w:tc>
      </w:tr>
      <w:tr>
        <w:tblPrEx>
          <w:tblCellMar>
            <w:top w:w="0" w:type="dxa"/>
            <w:left w:w="108" w:type="dxa"/>
            <w:bottom w:w="0" w:type="dxa"/>
            <w:right w:w="108" w:type="dxa"/>
          </w:tblCellMar>
        </w:tblPrEx>
        <w:trPr>
          <w:trHeight w:val="559" w:hRule="atLeast"/>
        </w:trPr>
        <w:tc>
          <w:tcPr>
            <w:tcW w:w="1556" w:type="dxa"/>
            <w:tcBorders>
              <w:top w:val="nil"/>
              <w:left w:val="single" w:color="auto" w:sz="4" w:space="0"/>
              <w:bottom w:val="single" w:color="auto" w:sz="4" w:space="0"/>
              <w:right w:val="single" w:color="auto" w:sz="4" w:space="0"/>
            </w:tcBorders>
            <w:vAlign w:val="center"/>
          </w:tcPr>
          <w:p>
            <w:pPr>
              <w:widowControl/>
              <w:ind w:firstLine="0" w:firstLineChars="0"/>
              <w:jc w:val="left"/>
              <w:rPr>
                <w:rFonts w:ascii="宋体" w:hAnsi="宋体" w:eastAsia="宋体" w:cs="宋体"/>
                <w:kern w:val="0"/>
                <w:sz w:val="24"/>
                <w:szCs w:val="24"/>
              </w:rPr>
            </w:pPr>
            <w:r>
              <w:rPr>
                <w:rFonts w:hint="eastAsia" w:ascii="宋体" w:hAnsi="宋体" w:eastAsia="宋体" w:cs="宋体"/>
                <w:kern w:val="0"/>
                <w:sz w:val="24"/>
                <w:szCs w:val="24"/>
              </w:rPr>
              <w:t>战略投资</w:t>
            </w:r>
          </w:p>
        </w:tc>
        <w:tc>
          <w:tcPr>
            <w:tcW w:w="1168" w:type="dxa"/>
            <w:gridSpan w:val="2"/>
            <w:tcBorders>
              <w:top w:val="nil"/>
              <w:left w:val="nil"/>
              <w:bottom w:val="single" w:color="auto" w:sz="4" w:space="0"/>
              <w:right w:val="single" w:color="auto" w:sz="4" w:space="0"/>
            </w:tcBorders>
            <w:vAlign w:val="center"/>
          </w:tcPr>
          <w:p>
            <w:pPr>
              <w:widowControl/>
              <w:wordWrap w:val="0"/>
              <w:ind w:firstLine="0" w:firstLineChars="0"/>
              <w:jc w:val="left"/>
              <w:rPr>
                <w:rFonts w:ascii="宋体" w:hAnsi="宋体" w:eastAsia="宋体" w:cs="宋体"/>
                <w:color w:val="000000"/>
                <w:kern w:val="0"/>
                <w:sz w:val="24"/>
              </w:rPr>
            </w:pPr>
            <w:r>
              <w:rPr>
                <w:rFonts w:ascii="宋体" w:hAnsi="宋体" w:eastAsia="宋体" w:cs="宋体"/>
                <w:color w:val="000000"/>
                <w:kern w:val="0"/>
                <w:sz w:val="24"/>
              </w:rPr>
              <w:t>金融、经济</w:t>
            </w:r>
          </w:p>
          <w:p>
            <w:pPr>
              <w:widowControl/>
              <w:ind w:firstLine="0" w:firstLineChars="0"/>
              <w:jc w:val="center"/>
              <w:rPr>
                <w:rFonts w:ascii="宋体" w:hAnsi="宋体" w:eastAsia="宋体" w:cs="宋体"/>
                <w:color w:val="000000"/>
                <w:kern w:val="0"/>
                <w:sz w:val="24"/>
              </w:rPr>
            </w:pPr>
          </w:p>
        </w:tc>
        <w:tc>
          <w:tcPr>
            <w:tcW w:w="3780" w:type="dxa"/>
            <w:gridSpan w:val="2"/>
            <w:tcBorders>
              <w:top w:val="nil"/>
              <w:left w:val="nil"/>
              <w:bottom w:val="single" w:color="auto" w:sz="4" w:space="0"/>
              <w:right w:val="single" w:color="auto" w:sz="4" w:space="0"/>
            </w:tcBorders>
            <w:vAlign w:val="center"/>
          </w:tcPr>
          <w:p>
            <w:pPr>
              <w:widowControl/>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探索有助于企业发展的新领域新项目、收集相关信息，提出合理建议；对企业所有投资项目情况进行统计、分析、预测；制定项目合作方案及时跟踪进展，为公司决策提供参考依据等</w:t>
            </w:r>
          </w:p>
        </w:tc>
        <w:tc>
          <w:tcPr>
            <w:tcW w:w="868"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4"/>
              </w:rPr>
              <w:t>研究生及以上学历</w:t>
            </w:r>
          </w:p>
        </w:tc>
        <w:tc>
          <w:tcPr>
            <w:tcW w:w="1109" w:type="dxa"/>
            <w:gridSpan w:val="2"/>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1471" w:type="dxa"/>
            <w:tcBorders>
              <w:top w:val="nil"/>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4"/>
                <w:szCs w:val="24"/>
              </w:rPr>
              <w:t>10万~30万</w:t>
            </w:r>
          </w:p>
        </w:tc>
      </w:tr>
      <w:tr>
        <w:tblPrEx>
          <w:tblCellMar>
            <w:top w:w="0" w:type="dxa"/>
            <w:left w:w="108" w:type="dxa"/>
            <w:bottom w:w="0" w:type="dxa"/>
            <w:right w:w="108" w:type="dxa"/>
          </w:tblCellMar>
        </w:tblPrEx>
        <w:trPr>
          <w:trHeight w:val="146" w:hRule="atLeast"/>
        </w:trPr>
        <w:tc>
          <w:tcPr>
            <w:tcW w:w="1556" w:type="dxa"/>
            <w:tcBorders>
              <w:top w:val="nil"/>
              <w:left w:val="single" w:color="auto" w:sz="4" w:space="0"/>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r>
              <w:rPr>
                <w:rFonts w:hint="eastAsia" w:ascii="宋体" w:hAnsi="宋体" w:eastAsia="宋体" w:cs="宋体"/>
                <w:kern w:val="0"/>
                <w:sz w:val="24"/>
                <w:szCs w:val="24"/>
              </w:rPr>
              <w:t>备</w:t>
            </w:r>
            <w:r>
              <w:rPr>
                <w:rFonts w:ascii="宋体" w:hAnsi="宋体" w:eastAsia="宋体" w:cs="宋体"/>
                <w:kern w:val="0"/>
                <w:sz w:val="24"/>
                <w:szCs w:val="24"/>
              </w:rPr>
              <w:t xml:space="preserve"> </w:t>
            </w:r>
            <w:r>
              <w:rPr>
                <w:rFonts w:hint="eastAsia" w:ascii="宋体" w:hAnsi="宋体" w:eastAsia="宋体" w:cs="宋体"/>
                <w:kern w:val="0"/>
                <w:sz w:val="24"/>
                <w:szCs w:val="24"/>
              </w:rPr>
              <w:t>注</w:t>
            </w:r>
          </w:p>
        </w:tc>
        <w:tc>
          <w:tcPr>
            <w:tcW w:w="8396" w:type="dxa"/>
            <w:gridSpan w:val="8"/>
            <w:tcBorders>
              <w:top w:val="single" w:color="auto" w:sz="4" w:space="0"/>
              <w:left w:val="nil"/>
              <w:bottom w:val="single" w:color="auto" w:sz="4" w:space="0"/>
              <w:right w:val="single" w:color="auto" w:sz="4" w:space="0"/>
            </w:tcBorders>
            <w:vAlign w:val="center"/>
          </w:tcPr>
          <w:p>
            <w:pPr>
              <w:widowControl/>
              <w:ind w:firstLine="0" w:firstLineChars="0"/>
              <w:jc w:val="center"/>
              <w:rPr>
                <w:rFonts w:ascii="宋体" w:hAnsi="宋体" w:eastAsia="宋体" w:cs="宋体"/>
                <w:kern w:val="0"/>
                <w:sz w:val="24"/>
                <w:szCs w:val="24"/>
              </w:rPr>
            </w:pPr>
          </w:p>
        </w:tc>
      </w:tr>
    </w:tbl>
    <w:p>
      <w:pPr>
        <w:ind w:firstLine="640"/>
        <w:jc w:val="cente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onsolas">
    <w:panose1 w:val="020B0609020204030204"/>
    <w:charset w:val="00"/>
    <w:family w:val="modern"/>
    <w:pitch w:val="default"/>
    <w:sig w:usb0="E10002FF" w:usb1="4000FCFF" w:usb2="00000009" w:usb3="00000000" w:csb0="6000019F" w:csb1="DFD70000"/>
  </w:font>
  <w:font w:name="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1"/>
        <w:right w:val="none" w:color="auto" w:sz="0" w:space="0"/>
        <w:between w:val="none" w:color="auto" w:sz="0" w:space="0"/>
      </w:pBdr>
      <w:ind w:firstLine="360"/>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0"/>
  <w:drawingGridVerticalSpacing w:val="156"/>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BE1"/>
    <w:rsid w:val="005D5BE1"/>
    <w:rsid w:val="00AD4402"/>
    <w:rsid w:val="00D02B02"/>
    <w:rsid w:val="03B96EC3"/>
    <w:rsid w:val="1BAC08CF"/>
    <w:rsid w:val="49840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仿宋" w:cs="Times New Roman"/>
      <w:kern w:val="2"/>
      <w:sz w:val="3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7"/>
    <w:qFormat/>
    <w:uiPriority w:val="99"/>
    <w:pPr>
      <w:tabs>
        <w:tab w:val="center" w:pos="4153"/>
        <w:tab w:val="right" w:pos="8306"/>
      </w:tabs>
      <w:snapToGrid w:val="0"/>
      <w:jc w:val="left"/>
    </w:pPr>
    <w:rPr>
      <w:sz w:val="18"/>
      <w:szCs w:val="18"/>
    </w:rPr>
  </w:style>
  <w:style w:type="paragraph" w:styleId="3">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Strong"/>
    <w:basedOn w:val="6"/>
    <w:qFormat/>
    <w:locked/>
    <w:uiPriority w:val="0"/>
    <w:rPr>
      <w:b/>
    </w:rPr>
  </w:style>
  <w:style w:type="character" w:styleId="8">
    <w:name w:val="FollowedHyperlink"/>
    <w:basedOn w:val="6"/>
    <w:semiHidden/>
    <w:unhideWhenUsed/>
    <w:qFormat/>
    <w:uiPriority w:val="99"/>
    <w:rPr>
      <w:color w:val="999999"/>
      <w:u w:val="none"/>
    </w:rPr>
  </w:style>
  <w:style w:type="character" w:styleId="9">
    <w:name w:val="Emphasis"/>
    <w:basedOn w:val="6"/>
    <w:qFormat/>
    <w:locked/>
    <w:uiPriority w:val="0"/>
  </w:style>
  <w:style w:type="character" w:styleId="10">
    <w:name w:val="HTML Definition"/>
    <w:basedOn w:val="6"/>
    <w:semiHidden/>
    <w:unhideWhenUsed/>
    <w:qFormat/>
    <w:uiPriority w:val="99"/>
    <w:rPr>
      <w:i/>
    </w:rPr>
  </w:style>
  <w:style w:type="character" w:styleId="11">
    <w:name w:val="Hyperlink"/>
    <w:basedOn w:val="6"/>
    <w:semiHidden/>
    <w:unhideWhenUsed/>
    <w:qFormat/>
    <w:uiPriority w:val="99"/>
    <w:rPr>
      <w:color w:val="999999"/>
      <w:u w:val="none"/>
    </w:rPr>
  </w:style>
  <w:style w:type="character" w:styleId="12">
    <w:name w:val="HTML Code"/>
    <w:basedOn w:val="6"/>
    <w:semiHidden/>
    <w:unhideWhenUsed/>
    <w:qFormat/>
    <w:uiPriority w:val="99"/>
    <w:rPr>
      <w:rFonts w:ascii="Consolas" w:hAnsi="Consolas" w:eastAsia="Consolas" w:cs="Consolas"/>
      <w:color w:val="DD1144"/>
      <w:sz w:val="18"/>
      <w:szCs w:val="18"/>
      <w:bdr w:val="single" w:color="E1E1E8" w:sz="6" w:space="0"/>
      <w:shd w:val="clear" w:color="050000" w:fill="F7F7F9"/>
    </w:rPr>
  </w:style>
  <w:style w:type="character" w:styleId="13">
    <w:name w:val="HTML Cite"/>
    <w:basedOn w:val="6"/>
    <w:semiHidden/>
    <w:unhideWhenUsed/>
    <w:qFormat/>
    <w:uiPriority w:val="99"/>
    <w:rPr>
      <w:color w:val="008000"/>
    </w:rPr>
  </w:style>
  <w:style w:type="character" w:styleId="14">
    <w:name w:val="HTML Keyboard"/>
    <w:basedOn w:val="6"/>
    <w:semiHidden/>
    <w:unhideWhenUsed/>
    <w:qFormat/>
    <w:uiPriority w:val="99"/>
    <w:rPr>
      <w:rFonts w:ascii="serif" w:hAnsi="serif" w:eastAsia="serif" w:cs="serif"/>
      <w:color w:val="333333"/>
      <w:sz w:val="21"/>
      <w:szCs w:val="21"/>
      <w:bdr w:val="single" w:color="CCCCCC" w:sz="6" w:space="0"/>
      <w:shd w:val="clear" w:color="050000" w:fill="F5F5F5"/>
    </w:rPr>
  </w:style>
  <w:style w:type="character" w:styleId="15">
    <w:name w:val="HTML Sample"/>
    <w:basedOn w:val="6"/>
    <w:semiHidden/>
    <w:unhideWhenUsed/>
    <w:qFormat/>
    <w:uiPriority w:val="99"/>
    <w:rPr>
      <w:rFonts w:hint="default" w:ascii="serif" w:hAnsi="serif" w:eastAsia="serif" w:cs="serif"/>
      <w:sz w:val="21"/>
      <w:szCs w:val="21"/>
    </w:rPr>
  </w:style>
  <w:style w:type="character" w:customStyle="1" w:styleId="16">
    <w:name w:val="页眉 Char"/>
    <w:basedOn w:val="6"/>
    <w:link w:val="3"/>
    <w:qFormat/>
    <w:locked/>
    <w:uiPriority w:val="99"/>
    <w:rPr>
      <w:rFonts w:eastAsia="仿宋" w:cs="Times New Roman"/>
      <w:sz w:val="18"/>
      <w:szCs w:val="18"/>
    </w:rPr>
  </w:style>
  <w:style w:type="character" w:customStyle="1" w:styleId="17">
    <w:name w:val="页脚 Char"/>
    <w:basedOn w:val="6"/>
    <w:link w:val="2"/>
    <w:qFormat/>
    <w:locked/>
    <w:uiPriority w:val="99"/>
    <w:rPr>
      <w:rFonts w:eastAsia="仿宋" w:cs="Times New Roman"/>
      <w:sz w:val="18"/>
      <w:szCs w:val="18"/>
    </w:rPr>
  </w:style>
  <w:style w:type="character" w:customStyle="1" w:styleId="18">
    <w:name w:val="hover25"/>
    <w:basedOn w:val="6"/>
    <w:qFormat/>
    <w:uiPriority w:val="0"/>
  </w:style>
  <w:style w:type="character" w:customStyle="1" w:styleId="19">
    <w:name w:val="hover26"/>
    <w:basedOn w:val="6"/>
    <w:qFormat/>
    <w:uiPriority w:val="0"/>
    <w:rPr>
      <w:color w:val="315EFB"/>
    </w:rPr>
  </w:style>
  <w:style w:type="character" w:customStyle="1" w:styleId="20">
    <w:name w:val="c-icon28"/>
    <w:basedOn w:val="6"/>
    <w:qFormat/>
    <w:uiPriority w:val="0"/>
  </w:style>
  <w:style w:type="character" w:customStyle="1" w:styleId="21">
    <w:name w:val="last-child"/>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193</Words>
  <Characters>1105</Characters>
  <Lines>9</Lines>
  <Paragraphs>2</Paragraphs>
  <TotalTime>0</TotalTime>
  <ScaleCrop>false</ScaleCrop>
  <LinksUpToDate>false</LinksUpToDate>
  <CharactersWithSpaces>1296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2017-07-17T03:00:00Z</dcterms:created>
  <dc:creator>李志刚</dc:creator>
  <cp:lastModifiedBy>李羽佳</cp:lastModifiedBy>
  <dcterms:modified xsi:type="dcterms:W3CDTF">2021-09-09T01:41:59Z</dcterms:modified>
  <dc:title>附件1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8913A0C24EF440A98AA156906D22E4BB</vt:lpwstr>
  </property>
</Properties>
</file>