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803" w:type="dxa"/>
        <w:tblInd w:w="94" w:type="dxa"/>
        <w:tblLayout w:type="fixed"/>
        <w:tblCellMar>
          <w:top w:w="0" w:type="dxa"/>
          <w:left w:w="108" w:type="dxa"/>
          <w:bottom w:w="0" w:type="dxa"/>
          <w:right w:w="108" w:type="dxa"/>
        </w:tblCellMar>
      </w:tblPr>
      <w:tblGrid>
        <w:gridCol w:w="1420"/>
        <w:gridCol w:w="3400"/>
        <w:gridCol w:w="1300"/>
        <w:gridCol w:w="2683"/>
      </w:tblGrid>
      <w:tr>
        <w:tblPrEx>
          <w:tblCellMar>
            <w:top w:w="0" w:type="dxa"/>
            <w:left w:w="108" w:type="dxa"/>
            <w:bottom w:w="0" w:type="dxa"/>
            <w:right w:w="108" w:type="dxa"/>
          </w:tblCellMar>
        </w:tblPrEx>
        <w:trPr>
          <w:trHeight w:val="1095" w:hRule="atLeast"/>
        </w:trPr>
        <w:tc>
          <w:tcPr>
            <w:tcW w:w="8803" w:type="dxa"/>
            <w:gridSpan w:val="4"/>
            <w:tcBorders>
              <w:top w:val="nil"/>
              <w:left w:val="nil"/>
              <w:bottom w:val="single" w:color="auto" w:sz="8" w:space="0"/>
              <w:right w:val="nil"/>
            </w:tcBorders>
            <w:shd w:val="clear" w:color="auto" w:fill="auto"/>
            <w:vAlign w:val="center"/>
          </w:tcPr>
          <w:p>
            <w:pPr>
              <w:widowControl/>
              <w:ind w:firstLine="0" w:firstLineChars="0"/>
              <w:jc w:val="center"/>
              <w:rPr>
                <w:rFonts w:ascii="宋体" w:hAnsi="宋体" w:eastAsia="宋体" w:cs="宋体"/>
                <w:b/>
                <w:kern w:val="0"/>
                <w:sz w:val="44"/>
                <w:szCs w:val="44"/>
              </w:rPr>
            </w:pPr>
            <w:r>
              <w:rPr>
                <w:rFonts w:hint="eastAsia" w:ascii="宋体" w:hAnsi="宋体" w:eastAsia="宋体" w:cs="宋体"/>
                <w:b/>
                <w:kern w:val="0"/>
                <w:sz w:val="44"/>
                <w:szCs w:val="44"/>
              </w:rPr>
              <w:t>海南省高层次人才项目需求信息表</w:t>
            </w:r>
          </w:p>
        </w:tc>
      </w:tr>
      <w:tr>
        <w:tblPrEx>
          <w:tblCellMar>
            <w:top w:w="0" w:type="dxa"/>
            <w:left w:w="108" w:type="dxa"/>
            <w:bottom w:w="0" w:type="dxa"/>
            <w:right w:w="108" w:type="dxa"/>
          </w:tblCellMar>
        </w:tblPrEx>
        <w:trPr>
          <w:trHeight w:val="600" w:hRule="atLeast"/>
        </w:trPr>
        <w:tc>
          <w:tcPr>
            <w:tcW w:w="1420" w:type="dxa"/>
            <w:tcBorders>
              <w:top w:val="nil"/>
              <w:left w:val="single" w:color="auto" w:sz="8" w:space="0"/>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单位名称</w:t>
            </w:r>
          </w:p>
        </w:tc>
        <w:tc>
          <w:tcPr>
            <w:tcW w:w="3400" w:type="dxa"/>
            <w:tcBorders>
              <w:top w:val="nil"/>
              <w:left w:val="nil"/>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ascii="宋体" w:hAnsi="宋体" w:eastAsia="宋体" w:cs="宋体"/>
                <w:kern w:val="0"/>
                <w:sz w:val="24"/>
                <w:szCs w:val="24"/>
              </w:rPr>
              <w:t>海南省农业科学院蔬菜研究所</w:t>
            </w:r>
          </w:p>
        </w:tc>
        <w:tc>
          <w:tcPr>
            <w:tcW w:w="1300" w:type="dxa"/>
            <w:tcBorders>
              <w:top w:val="nil"/>
              <w:left w:val="nil"/>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单位性质</w:t>
            </w:r>
          </w:p>
        </w:tc>
        <w:tc>
          <w:tcPr>
            <w:tcW w:w="2683" w:type="dxa"/>
            <w:tcBorders>
              <w:top w:val="nil"/>
              <w:left w:val="nil"/>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二类公益性事业单位</w:t>
            </w:r>
          </w:p>
        </w:tc>
      </w:tr>
      <w:tr>
        <w:trPr>
          <w:trHeight w:val="600" w:hRule="atLeast"/>
        </w:trPr>
        <w:tc>
          <w:tcPr>
            <w:tcW w:w="1420" w:type="dxa"/>
            <w:tcBorders>
              <w:top w:val="nil"/>
              <w:left w:val="single" w:color="auto" w:sz="8" w:space="0"/>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单位地址</w:t>
            </w:r>
          </w:p>
        </w:tc>
        <w:tc>
          <w:tcPr>
            <w:tcW w:w="3400" w:type="dxa"/>
            <w:tcBorders>
              <w:top w:val="nil"/>
              <w:left w:val="nil"/>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ascii="宋体" w:hAnsi="宋体" w:eastAsia="宋体" w:cs="宋体"/>
                <w:kern w:val="0"/>
                <w:sz w:val="24"/>
                <w:szCs w:val="24"/>
              </w:rPr>
              <w:t>海南省海口市兴丹路14号</w:t>
            </w:r>
          </w:p>
        </w:tc>
        <w:tc>
          <w:tcPr>
            <w:tcW w:w="1300" w:type="dxa"/>
            <w:tcBorders>
              <w:top w:val="nil"/>
              <w:left w:val="nil"/>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邮</w:t>
            </w:r>
            <w:r>
              <w:rPr>
                <w:rFonts w:cs="宋体" w:asciiTheme="minorEastAsia" w:hAnsiTheme="minorEastAsia" w:eastAsiaTheme="minorEastAsia"/>
                <w:kern w:val="0"/>
                <w:sz w:val="24"/>
                <w:szCs w:val="24"/>
              </w:rPr>
              <w:t xml:space="preserve">    </w:t>
            </w:r>
            <w:r>
              <w:rPr>
                <w:rFonts w:hint="eastAsia" w:cs="宋体" w:asciiTheme="minorEastAsia" w:hAnsiTheme="minorEastAsia" w:eastAsiaTheme="minorEastAsia"/>
                <w:kern w:val="0"/>
                <w:sz w:val="24"/>
                <w:szCs w:val="24"/>
              </w:rPr>
              <w:t>编</w:t>
            </w:r>
          </w:p>
        </w:tc>
        <w:tc>
          <w:tcPr>
            <w:tcW w:w="2683" w:type="dxa"/>
            <w:tcBorders>
              <w:top w:val="nil"/>
              <w:left w:val="nil"/>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ascii="宋体" w:hAnsi="宋体" w:eastAsia="宋体" w:cs="宋体"/>
                <w:kern w:val="0"/>
                <w:sz w:val="24"/>
                <w:szCs w:val="24"/>
              </w:rPr>
              <w:t>571100</w:t>
            </w:r>
          </w:p>
        </w:tc>
      </w:tr>
      <w:tr>
        <w:tblPrEx>
          <w:tblCellMar>
            <w:top w:w="0" w:type="dxa"/>
            <w:left w:w="108" w:type="dxa"/>
            <w:bottom w:w="0" w:type="dxa"/>
            <w:right w:w="108" w:type="dxa"/>
          </w:tblCellMar>
        </w:tblPrEx>
        <w:trPr>
          <w:trHeight w:val="600" w:hRule="atLeast"/>
        </w:trPr>
        <w:tc>
          <w:tcPr>
            <w:tcW w:w="1420" w:type="dxa"/>
            <w:tcBorders>
              <w:top w:val="nil"/>
              <w:left w:val="single" w:color="auto" w:sz="8" w:space="0"/>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网</w:t>
            </w:r>
            <w:r>
              <w:rPr>
                <w:rFonts w:cs="宋体" w:asciiTheme="minorEastAsia" w:hAnsiTheme="minorEastAsia" w:eastAsiaTheme="minorEastAsia"/>
                <w:kern w:val="0"/>
                <w:sz w:val="24"/>
                <w:szCs w:val="24"/>
              </w:rPr>
              <w:t xml:space="preserve">    </w:t>
            </w:r>
            <w:r>
              <w:rPr>
                <w:rFonts w:hint="eastAsia" w:cs="宋体" w:asciiTheme="minorEastAsia" w:hAnsiTheme="minorEastAsia" w:eastAsiaTheme="minorEastAsia"/>
                <w:kern w:val="0"/>
                <w:sz w:val="24"/>
                <w:szCs w:val="24"/>
              </w:rPr>
              <w:t>址</w:t>
            </w:r>
          </w:p>
        </w:tc>
        <w:tc>
          <w:tcPr>
            <w:tcW w:w="3400" w:type="dxa"/>
            <w:tcBorders>
              <w:top w:val="nil"/>
              <w:left w:val="nil"/>
              <w:bottom w:val="single" w:color="auto" w:sz="8" w:space="0"/>
              <w:right w:val="single" w:color="auto" w:sz="8" w:space="0"/>
            </w:tcBorders>
            <w:shd w:val="clear" w:color="auto" w:fill="auto"/>
            <w:vAlign w:val="center"/>
          </w:tcPr>
          <w:p>
            <w:pPr>
              <w:widowControl/>
              <w:ind w:firstLine="0" w:firstLineChars="0"/>
              <w:rPr>
                <w:rFonts w:cs="宋体" w:asciiTheme="minorEastAsia" w:hAnsiTheme="minorEastAsia" w:eastAsiaTheme="minorEastAsia"/>
                <w:kern w:val="0"/>
                <w:sz w:val="24"/>
                <w:szCs w:val="24"/>
              </w:rPr>
            </w:pPr>
            <w:r>
              <w:rPr>
                <w:rFonts w:hint="eastAsia" w:ascii="宋体" w:hAnsi="宋体" w:eastAsia="宋体" w:cs="宋体"/>
                <w:color w:val="0000FF"/>
                <w:kern w:val="0"/>
                <w:sz w:val="24"/>
                <w:szCs w:val="24"/>
                <w:u w:val="single"/>
              </w:rPr>
              <w:t>http://www.hnaas.org.cn/</w:t>
            </w:r>
          </w:p>
        </w:tc>
        <w:tc>
          <w:tcPr>
            <w:tcW w:w="1300" w:type="dxa"/>
            <w:tcBorders>
              <w:top w:val="nil"/>
              <w:left w:val="nil"/>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电子邮件</w:t>
            </w:r>
          </w:p>
        </w:tc>
        <w:tc>
          <w:tcPr>
            <w:tcW w:w="2683" w:type="dxa"/>
            <w:tcBorders>
              <w:top w:val="nil"/>
              <w:left w:val="nil"/>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ziy2013@163.com</w:t>
            </w:r>
          </w:p>
        </w:tc>
      </w:tr>
      <w:tr>
        <w:tblPrEx>
          <w:tblCellMar>
            <w:top w:w="0" w:type="dxa"/>
            <w:left w:w="108" w:type="dxa"/>
            <w:bottom w:w="0" w:type="dxa"/>
            <w:right w:w="108" w:type="dxa"/>
          </w:tblCellMar>
        </w:tblPrEx>
        <w:trPr>
          <w:trHeight w:val="600" w:hRule="atLeast"/>
        </w:trPr>
        <w:tc>
          <w:tcPr>
            <w:tcW w:w="1420" w:type="dxa"/>
            <w:tcBorders>
              <w:top w:val="nil"/>
              <w:left w:val="single" w:color="auto" w:sz="8" w:space="0"/>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联</w:t>
            </w:r>
            <w:r>
              <w:rPr>
                <w:rFonts w:cs="宋体" w:asciiTheme="minorEastAsia" w:hAnsiTheme="minorEastAsia" w:eastAsiaTheme="minorEastAsia"/>
                <w:kern w:val="0"/>
                <w:sz w:val="24"/>
                <w:szCs w:val="24"/>
              </w:rPr>
              <w:t xml:space="preserve"> </w:t>
            </w:r>
            <w:r>
              <w:rPr>
                <w:rFonts w:hint="eastAsia" w:cs="宋体" w:asciiTheme="minorEastAsia" w:hAnsiTheme="minorEastAsia" w:eastAsiaTheme="minorEastAsia"/>
                <w:kern w:val="0"/>
                <w:sz w:val="24"/>
                <w:szCs w:val="24"/>
              </w:rPr>
              <w:t>系</w:t>
            </w:r>
            <w:r>
              <w:rPr>
                <w:rFonts w:cs="宋体" w:asciiTheme="minorEastAsia" w:hAnsiTheme="minorEastAsia" w:eastAsiaTheme="minorEastAsia"/>
                <w:kern w:val="0"/>
                <w:sz w:val="24"/>
                <w:szCs w:val="24"/>
              </w:rPr>
              <w:t xml:space="preserve"> </w:t>
            </w:r>
            <w:r>
              <w:rPr>
                <w:rFonts w:hint="eastAsia" w:cs="宋体" w:asciiTheme="minorEastAsia" w:hAnsiTheme="minorEastAsia" w:eastAsiaTheme="minorEastAsia"/>
                <w:kern w:val="0"/>
                <w:sz w:val="24"/>
                <w:szCs w:val="24"/>
              </w:rPr>
              <w:t>人</w:t>
            </w:r>
          </w:p>
        </w:tc>
        <w:tc>
          <w:tcPr>
            <w:tcW w:w="3400" w:type="dxa"/>
            <w:tcBorders>
              <w:top w:val="nil"/>
              <w:left w:val="nil"/>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胡艳平</w:t>
            </w:r>
          </w:p>
        </w:tc>
        <w:tc>
          <w:tcPr>
            <w:tcW w:w="1300" w:type="dxa"/>
            <w:tcBorders>
              <w:top w:val="nil"/>
              <w:left w:val="nil"/>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电话/手机</w:t>
            </w:r>
          </w:p>
        </w:tc>
        <w:tc>
          <w:tcPr>
            <w:tcW w:w="2683" w:type="dxa"/>
            <w:tcBorders>
              <w:top w:val="nil"/>
              <w:left w:val="nil"/>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15120697815</w:t>
            </w:r>
          </w:p>
        </w:tc>
      </w:tr>
      <w:tr>
        <w:tblPrEx>
          <w:tblCellMar>
            <w:top w:w="0" w:type="dxa"/>
            <w:left w:w="108" w:type="dxa"/>
            <w:bottom w:w="0" w:type="dxa"/>
            <w:right w:w="108" w:type="dxa"/>
          </w:tblCellMar>
        </w:tblPrEx>
        <w:trPr>
          <w:trHeight w:val="1556" w:hRule="atLeast"/>
        </w:trPr>
        <w:tc>
          <w:tcPr>
            <w:tcW w:w="1420" w:type="dxa"/>
            <w:tcBorders>
              <w:top w:val="nil"/>
              <w:left w:val="single" w:color="auto" w:sz="8" w:space="0"/>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单位简介</w:t>
            </w:r>
          </w:p>
        </w:tc>
        <w:tc>
          <w:tcPr>
            <w:tcW w:w="7383" w:type="dxa"/>
            <w:gridSpan w:val="3"/>
            <w:tcBorders>
              <w:top w:val="single" w:color="auto" w:sz="8" w:space="0"/>
              <w:left w:val="nil"/>
              <w:bottom w:val="single" w:color="auto" w:sz="8" w:space="0"/>
              <w:right w:val="single" w:color="000000" w:sz="8" w:space="0"/>
            </w:tcBorders>
            <w:shd w:val="clear" w:color="auto" w:fill="auto"/>
            <w:vAlign w:val="center"/>
          </w:tcPr>
          <w:p>
            <w:pPr>
              <w:widowControl/>
              <w:ind w:firstLine="480"/>
              <w:rPr>
                <w:rFonts w:cs="宋体" w:asciiTheme="minorEastAsia" w:hAnsiTheme="minorEastAsia" w:eastAsiaTheme="minorEastAsia"/>
                <w:kern w:val="0"/>
                <w:sz w:val="24"/>
                <w:szCs w:val="24"/>
              </w:rPr>
            </w:pPr>
            <w:r>
              <w:rPr>
                <w:rFonts w:ascii="Times New Roman" w:hAnsi="Times New Roman" w:eastAsia="宋体" w:cs="Times New Roman"/>
                <w:sz w:val="24"/>
              </w:rPr>
              <w:t>海南省农业科学院蔬菜研究所是海南省省属蔬菜技术综合性研究与开发机构，为公益二类</w:t>
            </w:r>
            <w:r>
              <w:rPr>
                <w:rStyle w:val="8"/>
                <w:sz w:val="24"/>
                <w:szCs w:val="24"/>
              </w:rPr>
              <w:t>正处级事业单位</w:t>
            </w:r>
            <w:r>
              <w:rPr>
                <w:rFonts w:ascii="Times New Roman" w:hAnsi="Times New Roman" w:eastAsia="宋体" w:cs="Times New Roman"/>
                <w:sz w:val="24"/>
              </w:rPr>
              <w:t>。蔬菜研究所下设3个海南省院士团队创新中心、海南省瓜菜育种工程技术研究中心、海南省蔬菜生物学重点实验室及</w:t>
            </w:r>
            <w:r>
              <w:rPr>
                <w:rFonts w:hint="eastAsia" w:ascii="Times New Roman" w:hAnsi="Times New Roman" w:eastAsia="宋体" w:cs="Times New Roman"/>
                <w:sz w:val="24"/>
              </w:rPr>
              <w:t>2个国家产业技术体系，</w:t>
            </w:r>
            <w:r>
              <w:rPr>
                <w:rFonts w:ascii="Times New Roman" w:hAnsi="Times New Roman" w:eastAsia="宋体" w:cs="Times New Roman"/>
                <w:sz w:val="24"/>
              </w:rPr>
              <w:t>国家农业部种质资源澄迈实验观测站等多个科技条件平台。</w:t>
            </w:r>
            <w:r>
              <w:rPr>
                <w:rStyle w:val="8"/>
                <w:sz w:val="24"/>
                <w:szCs w:val="24"/>
              </w:rPr>
              <w:t>拥有海南北部海口旧州试验基地、南部乐东利国试验基地、中部澄迈永发试验基地 3 个野外科研试验基地，总面积370亩。先后承担国家与省部级各类科研项目100余项，攻克和解决了我省蔬菜产业发展中一些带有社会共性和关键性技术的热点难点问题。建所以来，选育及引进推广国内外蔬菜新品种近千种，研究集成并推广一批</w:t>
            </w:r>
            <w:bookmarkStart w:id="0" w:name="_GoBack"/>
            <w:bookmarkEnd w:id="0"/>
            <w:r>
              <w:rPr>
                <w:rStyle w:val="8"/>
                <w:sz w:val="24"/>
                <w:szCs w:val="24"/>
              </w:rPr>
              <w:t>高效栽培新技术，制定各类蔬菜绿色生产与无公害栽培技术规程20多项，出版编著9部，申报专利多项，发表论文200多篇，荣获各类科技成果奖励28项。其中海南省、广西区、广东省人民政府科技进步或科技成果转化一等奖4项，二等奖5项，三等奖7项，农业部全国农牧渔业丰收奖一等奖1项，国家质量技术检验检疫总局标准创新贡献奖三等奖1项。</w:t>
            </w:r>
          </w:p>
        </w:tc>
      </w:tr>
      <w:tr>
        <w:tblPrEx>
          <w:tblCellMar>
            <w:top w:w="0" w:type="dxa"/>
            <w:left w:w="108" w:type="dxa"/>
            <w:bottom w:w="0" w:type="dxa"/>
            <w:right w:w="108" w:type="dxa"/>
          </w:tblCellMar>
        </w:tblPrEx>
        <w:trPr>
          <w:trHeight w:val="1095" w:hRule="atLeast"/>
        </w:trPr>
        <w:tc>
          <w:tcPr>
            <w:tcW w:w="1420" w:type="dxa"/>
            <w:tcBorders>
              <w:top w:val="nil"/>
              <w:left w:val="single" w:color="auto" w:sz="8" w:space="0"/>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项目名称</w:t>
            </w:r>
          </w:p>
        </w:tc>
        <w:tc>
          <w:tcPr>
            <w:tcW w:w="7383" w:type="dxa"/>
            <w:gridSpan w:val="3"/>
            <w:tcBorders>
              <w:top w:val="single" w:color="auto" w:sz="8" w:space="0"/>
              <w:left w:val="nil"/>
              <w:bottom w:val="single" w:color="auto" w:sz="8" w:space="0"/>
              <w:right w:val="single" w:color="000000"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蔬菜基因编辑技术遗传转化体系的建立及应用</w:t>
            </w:r>
          </w:p>
        </w:tc>
      </w:tr>
      <w:tr>
        <w:tblPrEx>
          <w:tblCellMar>
            <w:top w:w="0" w:type="dxa"/>
            <w:left w:w="108" w:type="dxa"/>
            <w:bottom w:w="0" w:type="dxa"/>
            <w:right w:w="108" w:type="dxa"/>
          </w:tblCellMar>
        </w:tblPrEx>
        <w:trPr>
          <w:trHeight w:val="1125" w:hRule="atLeast"/>
        </w:trPr>
        <w:tc>
          <w:tcPr>
            <w:tcW w:w="1420" w:type="dxa"/>
            <w:tcBorders>
              <w:top w:val="nil"/>
              <w:left w:val="single" w:color="auto" w:sz="8" w:space="0"/>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所属行业</w:t>
            </w:r>
          </w:p>
        </w:tc>
        <w:tc>
          <w:tcPr>
            <w:tcW w:w="7383" w:type="dxa"/>
            <w:gridSpan w:val="3"/>
            <w:tcBorders>
              <w:top w:val="single" w:color="auto" w:sz="8" w:space="0"/>
              <w:left w:val="nil"/>
              <w:bottom w:val="single" w:color="auto" w:sz="8" w:space="0"/>
              <w:right w:val="single" w:color="000000"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科研</w:t>
            </w:r>
          </w:p>
        </w:tc>
      </w:tr>
      <w:tr>
        <w:tblPrEx>
          <w:tblCellMar>
            <w:top w:w="0" w:type="dxa"/>
            <w:left w:w="108" w:type="dxa"/>
            <w:bottom w:w="0" w:type="dxa"/>
            <w:right w:w="108" w:type="dxa"/>
          </w:tblCellMar>
        </w:tblPrEx>
        <w:trPr>
          <w:trHeight w:val="2159" w:hRule="atLeast"/>
        </w:trPr>
        <w:tc>
          <w:tcPr>
            <w:tcW w:w="1420" w:type="dxa"/>
            <w:tcBorders>
              <w:top w:val="nil"/>
              <w:left w:val="single" w:color="auto" w:sz="8" w:space="0"/>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项目介绍</w:t>
            </w:r>
          </w:p>
        </w:tc>
        <w:tc>
          <w:tcPr>
            <w:tcW w:w="7383" w:type="dxa"/>
            <w:gridSpan w:val="3"/>
            <w:tcBorders>
              <w:top w:val="single" w:color="auto" w:sz="8" w:space="0"/>
              <w:left w:val="nil"/>
              <w:bottom w:val="single" w:color="auto" w:sz="8" w:space="0"/>
              <w:right w:val="single" w:color="000000" w:sz="8" w:space="0"/>
            </w:tcBorders>
            <w:shd w:val="clear" w:color="auto" w:fill="auto"/>
            <w:vAlign w:val="center"/>
          </w:tcPr>
          <w:p>
            <w:pPr>
              <w:widowControl/>
              <w:ind w:firstLine="480"/>
            </w:pPr>
            <w:r>
              <w:rPr>
                <w:rFonts w:ascii="Times New Roman" w:hAnsi="Times New Roman" w:eastAsia="宋体" w:cs="Times New Roman"/>
                <w:kern w:val="0"/>
                <w:sz w:val="24"/>
                <w:szCs w:val="24"/>
              </w:rPr>
              <w:t>CRISPR/Cas9及其衍生系统已经成为生命科学研究的关注热点。目前基因编辑理论与方法现已比较成熟，已经广泛应用于动物及人类医学研究，植物中在水稻、拟南芥等模式作物中应用较多</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在</w:t>
            </w:r>
            <w:r>
              <w:rPr>
                <w:rFonts w:hint="eastAsia" w:ascii="Times New Roman" w:hAnsi="Times New Roman" w:eastAsia="宋体" w:cs="Times New Roman"/>
                <w:kern w:val="0"/>
                <w:sz w:val="24"/>
                <w:szCs w:val="24"/>
              </w:rPr>
              <w:t>蔬菜</w:t>
            </w:r>
            <w:r>
              <w:rPr>
                <w:rFonts w:ascii="Times New Roman" w:hAnsi="Times New Roman" w:eastAsia="宋体" w:cs="Times New Roman"/>
                <w:kern w:val="0"/>
                <w:sz w:val="24"/>
                <w:szCs w:val="24"/>
              </w:rPr>
              <w:t>中成功进行基因编辑的报道还很少。而制约其在</w:t>
            </w:r>
            <w:r>
              <w:rPr>
                <w:rFonts w:hint="eastAsia" w:ascii="Times New Roman" w:hAnsi="Times New Roman" w:eastAsia="宋体" w:cs="Times New Roman"/>
                <w:kern w:val="0"/>
                <w:sz w:val="24"/>
                <w:szCs w:val="24"/>
              </w:rPr>
              <w:t>蔬菜</w:t>
            </w:r>
            <w:r>
              <w:rPr>
                <w:rFonts w:ascii="Times New Roman" w:hAnsi="Times New Roman" w:eastAsia="宋体" w:cs="Times New Roman"/>
                <w:kern w:val="0"/>
                <w:sz w:val="24"/>
                <w:szCs w:val="24"/>
              </w:rPr>
              <w:t>上广泛应用的瓶颈是缺乏比较高效、稳定的遗传转化体系，项目通过构建高效、稳定的甜瓜遗传转化体系，利用基因编辑等技术，培育优质、多抗、多类型、商品性高的</w:t>
            </w:r>
            <w:r>
              <w:rPr>
                <w:rFonts w:hint="eastAsia" w:ascii="Times New Roman" w:hAnsi="Times New Roman" w:eastAsia="宋体" w:cs="Times New Roman"/>
                <w:kern w:val="0"/>
                <w:sz w:val="24"/>
                <w:szCs w:val="24"/>
              </w:rPr>
              <w:t>蔬菜</w:t>
            </w:r>
            <w:r>
              <w:rPr>
                <w:rFonts w:ascii="Times New Roman" w:hAnsi="Times New Roman" w:eastAsia="宋体" w:cs="Times New Roman"/>
                <w:kern w:val="0"/>
                <w:sz w:val="24"/>
                <w:szCs w:val="24"/>
              </w:rPr>
              <w:t>优良品种。</w:t>
            </w:r>
            <w:r>
              <w:rPr>
                <w:rFonts w:ascii="Times New Roman" w:hAnsi="Times New Roman" w:eastAsia="宋体" w:cs="Times New Roman"/>
                <w:color w:val="000000"/>
                <w:kern w:val="0"/>
                <w:sz w:val="24"/>
                <w:szCs w:val="24"/>
                <w:lang w:bidi="ar"/>
              </w:rPr>
              <w:t>该技术体系可为获得含有外源基因</w:t>
            </w:r>
            <w:r>
              <w:rPr>
                <w:rFonts w:hint="eastAsia" w:ascii="Times New Roman" w:hAnsi="Times New Roman" w:eastAsia="宋体" w:cs="Times New Roman"/>
                <w:color w:val="000000"/>
                <w:kern w:val="0"/>
                <w:sz w:val="24"/>
                <w:szCs w:val="24"/>
                <w:lang w:bidi="ar"/>
              </w:rPr>
              <w:t>蔬菜</w:t>
            </w:r>
            <w:r>
              <w:rPr>
                <w:rFonts w:ascii="Times New Roman" w:hAnsi="Times New Roman" w:eastAsia="宋体" w:cs="Times New Roman"/>
                <w:color w:val="000000"/>
                <w:kern w:val="0"/>
                <w:sz w:val="24"/>
                <w:szCs w:val="24"/>
                <w:lang w:bidi="ar"/>
              </w:rPr>
              <w:t>新材料奠定基础，也将为</w:t>
            </w:r>
            <w:r>
              <w:rPr>
                <w:rFonts w:hint="eastAsia" w:ascii="Times New Roman" w:hAnsi="Times New Roman" w:eastAsia="宋体" w:cs="Times New Roman"/>
                <w:color w:val="000000"/>
                <w:kern w:val="0"/>
                <w:sz w:val="24"/>
                <w:szCs w:val="24"/>
                <w:lang w:bidi="ar"/>
              </w:rPr>
              <w:t>蔬菜</w:t>
            </w:r>
            <w:r>
              <w:rPr>
                <w:rFonts w:ascii="Times New Roman" w:hAnsi="Times New Roman" w:eastAsia="宋体" w:cs="Times New Roman"/>
                <w:color w:val="000000"/>
                <w:kern w:val="0"/>
                <w:sz w:val="24"/>
                <w:szCs w:val="24"/>
                <w:lang w:bidi="ar"/>
              </w:rPr>
              <w:t>基因功能分析提供很好的基因功能验证技术手段。</w:t>
            </w:r>
          </w:p>
          <w:p>
            <w:pPr>
              <w:widowControl/>
              <w:ind w:firstLine="480"/>
              <w:jc w:val="left"/>
              <w:rPr>
                <w:rFonts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820" w:hRule="atLeast"/>
        </w:trPr>
        <w:tc>
          <w:tcPr>
            <w:tcW w:w="142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合作条件</w:t>
            </w:r>
          </w:p>
        </w:tc>
        <w:tc>
          <w:tcPr>
            <w:tcW w:w="7383" w:type="dxa"/>
            <w:gridSpan w:val="3"/>
            <w:tcBorders>
              <w:top w:val="single" w:color="auto" w:sz="8" w:space="0"/>
              <w:left w:val="nil"/>
              <w:bottom w:val="single" w:color="auto" w:sz="8" w:space="0"/>
              <w:right w:val="single" w:color="000000"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p>
          <w:p>
            <w:pPr>
              <w:widowControl/>
              <w:ind w:firstLine="0" w:firstLineChars="0"/>
              <w:jc w:val="center"/>
              <w:rPr>
                <w:rFonts w:cs="宋体" w:asciiTheme="minorEastAsia" w:hAnsiTheme="minorEastAsia" w:eastAsiaTheme="minorEastAsia"/>
                <w:kern w:val="0"/>
                <w:sz w:val="24"/>
                <w:szCs w:val="24"/>
              </w:rPr>
            </w:pPr>
          </w:p>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技术合作</w:t>
            </w:r>
          </w:p>
          <w:p>
            <w:pPr>
              <w:widowControl/>
              <w:ind w:firstLine="0" w:firstLineChars="0"/>
              <w:jc w:val="center"/>
              <w:rPr>
                <w:rFonts w:cs="宋体" w:asciiTheme="minorEastAsia" w:hAnsiTheme="minorEastAsia" w:eastAsiaTheme="minorEastAsia"/>
                <w:kern w:val="0"/>
                <w:sz w:val="24"/>
                <w:szCs w:val="24"/>
              </w:rPr>
            </w:pPr>
          </w:p>
          <w:p>
            <w:pPr>
              <w:widowControl/>
              <w:ind w:firstLine="0" w:firstLineChars="0"/>
              <w:jc w:val="center"/>
              <w:rPr>
                <w:rFonts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1230" w:hRule="atLeast"/>
        </w:trPr>
        <w:tc>
          <w:tcPr>
            <w:tcW w:w="142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备   注</w:t>
            </w:r>
          </w:p>
        </w:tc>
        <w:tc>
          <w:tcPr>
            <w:tcW w:w="7383" w:type="dxa"/>
            <w:gridSpan w:val="3"/>
            <w:tcBorders>
              <w:top w:val="single" w:color="auto" w:sz="8" w:space="0"/>
              <w:left w:val="nil"/>
              <w:bottom w:val="single" w:color="auto" w:sz="8" w:space="0"/>
              <w:right w:val="single" w:color="000000" w:sz="8" w:space="0"/>
            </w:tcBorders>
            <w:shd w:val="clear" w:color="auto" w:fill="auto"/>
            <w:vAlign w:val="center"/>
          </w:tcPr>
          <w:p>
            <w:pPr>
              <w:widowControl/>
              <w:ind w:firstLine="0" w:firstLineChars="0"/>
              <w:jc w:val="center"/>
              <w:rPr>
                <w:rFonts w:cs="宋体" w:asciiTheme="minorEastAsia" w:hAnsiTheme="minorEastAsia" w:eastAsiaTheme="minorEastAsia"/>
                <w:kern w:val="0"/>
                <w:sz w:val="24"/>
                <w:szCs w:val="24"/>
              </w:rPr>
            </w:pPr>
          </w:p>
        </w:tc>
      </w:tr>
    </w:tbl>
    <w:p>
      <w:pPr>
        <w:ind w:firstLine="64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76D"/>
    <w:rsid w:val="000672B0"/>
    <w:rsid w:val="00085973"/>
    <w:rsid w:val="001155DC"/>
    <w:rsid w:val="002F0749"/>
    <w:rsid w:val="004B7140"/>
    <w:rsid w:val="005368DD"/>
    <w:rsid w:val="00586D93"/>
    <w:rsid w:val="00602FA7"/>
    <w:rsid w:val="0069506B"/>
    <w:rsid w:val="00757247"/>
    <w:rsid w:val="0078026A"/>
    <w:rsid w:val="007927C5"/>
    <w:rsid w:val="0084676D"/>
    <w:rsid w:val="00863400"/>
    <w:rsid w:val="008A0638"/>
    <w:rsid w:val="009E5EE8"/>
    <w:rsid w:val="009F5E5D"/>
    <w:rsid w:val="00A12BBC"/>
    <w:rsid w:val="00B27A73"/>
    <w:rsid w:val="00BE3A33"/>
    <w:rsid w:val="00BF3566"/>
    <w:rsid w:val="00DC0BFF"/>
    <w:rsid w:val="00DC2772"/>
    <w:rsid w:val="00E920A3"/>
    <w:rsid w:val="32984E66"/>
    <w:rsid w:val="35AB3722"/>
    <w:rsid w:val="52155AAA"/>
    <w:rsid w:val="63FA0920"/>
    <w:rsid w:val="66AD7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eastAsia="仿宋" w:asciiTheme="minorHAnsi" w:hAnsiTheme="minorHAnsi" w:cstheme="minorBidi"/>
      <w:kern w:val="2"/>
      <w:sz w:val="3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eastAsia="仿宋"/>
      <w:sz w:val="18"/>
      <w:szCs w:val="18"/>
    </w:rPr>
  </w:style>
  <w:style w:type="character" w:customStyle="1" w:styleId="7">
    <w:name w:val="页脚 Char"/>
    <w:basedOn w:val="5"/>
    <w:link w:val="2"/>
    <w:uiPriority w:val="99"/>
    <w:rPr>
      <w:rFonts w:eastAsia="仿宋"/>
      <w:sz w:val="18"/>
      <w:szCs w:val="18"/>
    </w:rPr>
  </w:style>
  <w:style w:type="character" w:customStyle="1" w:styleId="8">
    <w:name w:val="NormalCharacter"/>
    <w:semiHidden/>
    <w:qFormat/>
    <w:uiPriority w:val="0"/>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139</Words>
  <Characters>796</Characters>
  <Lines>6</Lines>
  <Paragraphs>1</Paragraphs>
  <TotalTime>1</TotalTime>
  <ScaleCrop>false</ScaleCrop>
  <LinksUpToDate>false</LinksUpToDate>
  <CharactersWithSpaces>934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2021-08-13T11:10:00Z</dcterms:created>
  <dc:creator>李志刚</dc:creator>
  <cp:lastModifiedBy>李羽佳</cp:lastModifiedBy>
  <cp:lastPrinted>2021-08-16T08:01:00Z</cp:lastPrinted>
  <dcterms:modified xsi:type="dcterms:W3CDTF">2021-09-09T02:05:22Z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557A5D4FC3AA4F3D8AB86C231F34A6F4</vt:lpwstr>
  </property>
</Properties>
</file>